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A/3941/2014 vom 12. Mai 2015</w:t>
      </w:r>
    </w:p>
    <w:p>
      <w:r>
        <w:t>GE Cour de justice, 2015-05-12, FR</w:t>
      </w:r>
    </w:p>
    <w:p>
      <w:r>
        <w:rPr>
          <w:b/>
        </w:rPr>
        <w:t xml:space="preserve">Quelle: </w:t>
      </w:r>
      <w:r>
        <w:t>https://mcp.opencaselaw.ch/entscheid/ge_gerichte_A_3941_2014</w:t>
      </w:r>
    </w:p>
    <w:p>
      <w:r>
        <w:t>FR: GE_GERICHTE A/3941/2014 du 12 mai 2015</w:t>
      </w:r>
    </w:p>
    <w:p>
      <w:r>
        <w:t>IT: GE_GERICHTE A/3941/2014 del 12 maggio 2015</w:t>
      </w:r>
    </w:p>
    <w:p>
      <w:pPr>
        <w:pStyle w:val="Heading2"/>
      </w:pPr>
      <w:r>
        <w:t>Erwägungen</w:t>
      </w:r>
    </w:p>
    <w:p>
      <w:r>
        <w:rPr>
          <w:b/>
        </w:rPr>
        <w:t>E. 1</w:t>
      </w:r>
    </w:p>
    <w:p>
      <w:r>
        <w:t>ère section dans la cause A______ représentée par Me Marco Rossi, avocat contre COUR DE JUSTICE - CHAMBRE ADMINISTRATIVE et OFFICE CANTONAL DE L’INSPECTION ET DES RELATIONS DU TRAVAIL EN FAIT 1) Par arrêt du 19 août 2014, la chambre administrative de la Cour de justice a rejeté le recours formé par A______ contre un jugement du Tribunal administratif de première instance (ci-après : TAPI) du 17 décembre 2013, confirmant une décision de l’Office cantonal de l’inspection et des relations du travail (ci-après : OCIRT), refusant d’octroyer à Monsieur B______ un permis B pour activité lucrative. ![endif]&gt;![if&gt; M. B______ ne pouvait être considéré comme un cuisinier spécialisé dans la mesure où les exigences relatives aux qualifications professionnelles n’étaient pas remplies, la question du respect de l’ordre de priorité par la recourante et du respect des critères liés au restaurant de spécialités pouvaient souffrir de rester ouverte. Cet arrêt, qui n’a pas fait l’objet d’un recours au Tribunal fédéral, est devenu définitif et exécutoire. 2) Le 8 décembre 2014, A______ a adressé à l’OCIRT une demande de reconsidération. La chambre administrative avait retenu, sur la base d’un papier à lettre, que l’établissement dans lequel M. B______ travaillait depuis des années au Bangladesh n’était pas spécialisé dans la cuisine traditionnelle indienne. Deux attestations de l'établissement en question, du 27 septembre 2014, indiquaient qu’il était bien spécialisé également dans le domaine de la cuisine traditionnelle indienne et du sud de l’Inde.![endif]&gt;![if&gt; L’OCIRT a transmis ce courrier à la chambre administrative le 19 décembre 2014, pour raison de compétence. Le 23 décembre 2014, la chambre administrative a imparti au requérant un délai, afin qu’il confirme la demande de révision et cas échéant, qu’il la motive, et qu’il remette une traduction des annexes produites à l’OCIRT. 3) Le 6 mars 2015, A______ s’est déterminé, dans le délai qui lui avait été accordé à sa demande. Il maintenait sa demande de révision. Les attestations produites à l’OCIRT, datées du 27 septembre 2014, constituaient des moyens de preuve nouveaux. ![endif]&gt;![if&gt; Les traductions demandées n’étaient pas produites. 4) Ces documents ont été transmis à l’OCIRT pour information et la cause a été gardée à juger.![endif]&gt;![if&gt; EN DROIT 1) Il y a lieu à révision lorsque, dans une affaire réglée par une décision définitive, il apparaît notamment que des faits ou des moyens de preuve nouveaux et importants existent, que le recourant ne pouvait connaître ou invoquer dans la procédure précédente (art. 80 let. b de la loi sur la procédure administrative du 12 septembre 1985 - LPA - E 5 10).![endif]&gt;![if&gt; 2) 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 Arrêt du Tribunal fédéral des assurances U 216/00 du 31 mai 2001 consid. 3).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 572 ; ATA/582/2005 du 30 août 2005).![endif]&gt;![if&gt; 3) En l’espèce, le demandeur produit deux attestations émanant de l’employeur de M. B______ au Bengladesh. Il s’agit certes de nouveaux documents. On ne voit toutefois pas en quoi les éléments qu’ils contiennent ne pouvaient être administrés lors de la première procédure. De plus, le fait que l’établissement employant M. B______ mette aussi à disposition de ses clients de la cuisine du sud de l’Inde ne permet pas d’admettre que les qualifications de ce dernier répondent aux directives, très détaillées, de l’office des migrations, devenu depuis lors secrétariat d’État aux migrations.![endif]&gt;![if&gt; 4) Au vu de ce qui précède, la demande de révision sera déclarée irrecevable.![endif]&gt;![if&gt; Vu l'issue du litige, un émolument de CHF 400.- sera mis à la charge du demandeur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