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A/3941/2011 vom 23. Februar 2012</w:t>
      </w:r>
    </w:p>
    <w:p>
      <w:r>
        <w:t>GE Cour de justice, 2012-02-23, FR</w:t>
      </w:r>
    </w:p>
    <w:p>
      <w:r>
        <w:rPr>
          <w:b/>
        </w:rPr>
        <w:t xml:space="preserve">Quelle: </w:t>
      </w:r>
      <w:r>
        <w:t>https://mcp.opencaselaw.ch/entscheid/ge_gerichte_A_3941_2011</w:t>
      </w:r>
    </w:p>
    <w:p>
      <w:r>
        <w:t>FR: GE_GERICHTE A/3941/2011 du 23 février 2012</w:t>
      </w:r>
    </w:p>
    <w:p>
      <w:r>
        <w:t>IT: GE_GERICHTE A/3941/2011 del 23 febbraio 2012</w:t>
      </w:r>
    </w:p>
    <w:p>
      <w:pPr>
        <w:pStyle w:val="Heading2"/>
      </w:pPr>
      <w:r>
        <w:t>Volltext</w:t>
      </w:r>
    </w:p>
    <w:p>
      <w:r>
        <w:t>Genève Cour de justice (Cour de droit public) Chambre des assurances sociales 23.02.2012 A/3941/2011</w:t>
      </w:r>
    </w:p>
    <w:p>
      <w:r>
        <w:t>A/3941/2011 ATAS/210/2012 du 23.02.2012 ( LAMAL ) , RETIRE RÉPUBLIQUE ET CANTON DE GENÈVE POUVOIR JUDICIAIRE A/3941/2011 ATAS/210/2012 COUR DE JUSTICE Chambre des assurances sociales Arrêt du 23 février 2012 3ème Chambre En la cause Monsieur H__________, domicilié à Vésenaz recourant contre SERVICE DE L'ASSURANCE-MALADIE, route de Frontenex 62, 1207 Genève intimé Vu la décision sur opposition rendue le 31 octobre 2011 par le SERVICE DE L’ASSURANCE-MALADIE concernant Monsieur H__________ et confirmant le refus de subside pour l’année 2011 prononcé le 31 août 2011 ; Vu le recours interjeté par l’assuré le 21 novembre 2011, Vu la réponse de l’intimé du 19 décembre 2011, Vu le courrier adressé par l’assuré à la Cour de céans le 13 février 2012, indiquant qu'il retirait son recours, Attendu qu'il convient d'en prendre acte et de rayer la cause du rôle. PAR CES MOTIFS, LA CHAMBRE DES ASSURANCES SOCIALES : Prend acte du retrait du recours. Raye la cause du rôle. La greffière Marie-Catherine SECHAUD La Présidente :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