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A/3939/2024 vom 24. Juni 2025</w:t>
      </w:r>
    </w:p>
    <w:p>
      <w:r>
        <w:t>GE Cour de justice, 2025-06-24, FR</w:t>
      </w:r>
    </w:p>
    <w:p>
      <w:r>
        <w:rPr>
          <w:b/>
        </w:rPr>
        <w:t xml:space="preserve">Quelle: </w:t>
      </w:r>
      <w:r>
        <w:t>https://mcp.opencaselaw.ch/entscheid/ge_gerichte_A_3939_2024</w:t>
      </w:r>
    </w:p>
    <w:p>
      <w:r>
        <w:t>FR: GE_GERICHTE A/3939/2024 du 24 juin 2025</w:t>
      </w:r>
    </w:p>
    <w:p>
      <w:r>
        <w:t>IT: GE_GERICHTE A/3939/2024 del 24 giugno 2025</w:t>
      </w:r>
    </w:p>
    <w:p>
      <w:pPr>
        <w:pStyle w:val="Heading2"/>
      </w:pPr>
      <w:r>
        <w:t>Regeste</w:t>
      </w:r>
    </w:p>
    <w:p>
      <w:r>
        <w:t>OBLIGATION D'ENTRETIEN;PLACEMENT D'ENFANTS;CONTRIBUTION AUX FRAIS DE PENSION;FRAIS D'ENTRETIEN;CALCUL;REVENU DÉTERMINANT;RÉDUCTION(EN GÉNÉRAL) | Rejet du recours d'une mère contre le montant de sa participation financière aux frais de placement de ses trois enfants, calculé sur la base du RDU ressortant de sa taxation fiscale définitive de 2022. Rien ne permet de mettre en cause la quotité du rabais de 20% accordé par le SPMi. Pas d’actualisation du RDU concernant les prestations tarifaires, ni de prise en compte des dépenses de la famille. Les charges de la recourante ne peuvent être prises en compte que par le biais d'un arrangement de paiement. | CC.276.al1; CC.276.al2; CC.277.al1; CC.285.al1; LaCC.81.al2; LEJ.36; RPFFPM.1; RPFFPM.2.leta; RPFFPM.4.letc; RPFFPM.5.al1; RPFFPM.7.al2; LRDU.4.al1.letm; LRDU.5.al1; LRDU.9.al1; LRDU.1.al2; RPFFPM.8.al2; RPFFPM.8.al3; RPFFPM.3.al3</w:t>
      </w:r>
    </w:p>
    <w:p>
      <w:pPr>
        <w:pStyle w:val="Heading2"/>
      </w:pPr>
      <w:r>
        <w:t>Erwägungen</w:t>
      </w:r>
    </w:p>
    <w:p>
      <w:r>
        <w:rPr>
          <w:b/>
        </w:rPr>
        <w:t>E. 2</w:t>
      </w:r>
    </w:p>
    <w:p>
      <w:r>
        <w:t>La recourante demande d'annuler sa participation financière aux frais de placement de ses enfants, en raison de sa situation financière difficile ne lui permettant pas d'assumer ses charges.</w:t>
      </w:r>
    </w:p>
    <w:p>
      <w:r>
        <w:rPr>
          <w:b/>
        </w:rPr>
        <w:t>E. 2.1</w:t>
      </w:r>
    </w:p>
    <w:p>
      <w:r>
        <w:t>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 ses père et mère ; il est tenu compte de la fortune et des revenus de l'enfant (art. 285 al. 1 CC).</w:t>
      </w:r>
    </w:p>
    <w:p>
      <w:r>
        <w:rPr>
          <w:b/>
        </w:rPr>
        <w:t>E. 2.2</w:t>
      </w:r>
    </w:p>
    <w:p>
      <w:r>
        <w:t>Lorsque l'enfant est placé, l'office cantonal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36 al. 1 de la loi sur l'enfance et la jeunesse du 1 er mars 2018 - LEJ - J 6 01). Le type de prestations pour lesquelles une participation financière peut être demandée ainsi que le montant des contributions y relatives sont fixés par voie réglementaire (art. 36 al. 2 LEJ).</w:t>
      </w:r>
    </w:p>
    <w:p>
      <w:r>
        <w:rPr>
          <w:b/>
        </w:rPr>
        <w:t>E. 2.3</w:t>
      </w:r>
    </w:p>
    <w:p>
      <w:r>
        <w:t>Les frais de placement résidentiel, ainsi que les repas en structures d'enseignement spécialisé ou à caractère résidentiel et les autres frais mentionnés par le règlement fixant la participation financière des père et mère aux frais de placement, ainsi qu'aux mesures de soutien et de protection du mineur du 2 décembre 2020 (RPFFPM - J 6 26.04), sont à la charge de l'État, dans la mesure où ils ne sont pas couverts par la participation financière des père et mère (art. 1 RPFFPM). Le RPFFPM a notamment pour but de fixer la participation financière des père et mère lors de placements résidentiels (art. 2 let. a RPFFPM). Il est perçu une participation financière lorsque le mineur est placé, notamment, auprès de parents nourriciers au sens de l'ordonnance fédérale sur le placement d'enfants, du 19 octobre 1977, lorsque ces derniers sont rémunérés par l'office cantonal de l'enfance et de la jeunesse (art. 4 let. c RPFFPM). Lors de placements résidentiels, la participation financière aux frais de placement et d'entretien est de CHF 39.45 par jour et par mineur (art. 5 al. 1 RPFFPM). Lorsque les père et mère ne font pas ménage commun, la participation financière est perçue auprès du dernier parent qui avait la garde de fait du mineur et qui, le cas échéant, perçoit les contributions d'entretien fixées judiciairement, les rentes et les éventuels droits pécuniaires auxquels le mineur a droit (art. 7 al. 2 RPFFPM).</w:t>
      </w:r>
    </w:p>
    <w:p>
      <w:r>
        <w:rPr>
          <w:b/>
        </w:rPr>
        <w:t>E. 2.4</w:t>
      </w:r>
    </w:p>
    <w:p>
      <w:r>
        <w:t>Le socle du RDU comprend l’ensemble des revenus, notamment les prestations reçues en vertu d'une obligation d'entretien ou d'assistance fondée sur le droit de la famille (art. 4 al. 1 let. m LRDU). Les déductions à prendre en compte sont exhaustivement énumérées à l’art. 5 al. 1 LRDU. Il s’agit, en résumé, des versements de prévoyance, des cotisations à l’AVS (let. a), à l'assurance-accidents non professionnels (let. b), à des institutions de prévoyance professionnelle liée (let. c), des frais professionnels, des frais de formation et de perfectionnement, des frais justifiés par l'usage commercial et professionnel pour les personnes exerçant une activité lucrative indépendante (let. d), des frais de garde des enfants (let. e), des pensions alimentaires et des contributions d'entretien (let. f), des frais liés à un handicap (let. g) et des frais médicaux et dentaires à charge (let. h).</w:t>
      </w:r>
    </w:p>
    <w:p>
      <w:r>
        <w:rPr>
          <w:b/>
        </w:rPr>
        <w:t>E. 2.5</w:t>
      </w:r>
    </w:p>
    <w:p>
      <w:r>
        <w:t>Selon l’art. 9 al. 1 LRDU, le socle du RDU est calculé automatiquement sur la base de la dernière taxation fiscale définitive. Il n’est, en principe, pas procédé à sa réactualisation. Ce procédé permet, en matière de prestations tarifaires – comme le sont les frais de placement –, de répondre aux buts de la LRDU visant la simplification de l’accès aux prestations sociales cantonales et l’allègement des procédures (art. 1 al. 2 LRDU). Cela garantit aussi l’égalité de traitement entre les bénéficiaires de prestations tarifaires du SPMi ( ATA/593/2025 du 27 mai 2025 consid. 2.5 ; ATA/397/2023 du 18 avril 2023 consid. 3.3). L’art. 8 al. 2 RPFFPM prévoit qu’un rabais est accordé aux père et mère en fonction du montant de leur RDU et du nombre d’enfants à charge. Ainsi, un rabais de 20% est accordé pour une limite du revenu familial pour un enfant entre CHF 95'001.- et CHF 150'000.-. Dès le deuxième enfant à charge, un montant de CHF 7'500.- doit être ajouté par enfant pour déterminer la limite du revenu familial. Ces limites de revenus sont calculées en application de la LRDU (art. 8 al. 3 RPFFPM).</w:t>
      </w:r>
    </w:p>
    <w:p>
      <w:r>
        <w:rPr>
          <w:b/>
        </w:rPr>
        <w:t>E. 2.6</w:t>
      </w:r>
    </w:p>
    <w:p>
      <w:r>
        <w:t>Le SPMi est compétent pour les aides financières apportées aux mineurs qui font l’objet d’une mesure de protection ou d’une décision de placement ordonnée par le pouvoir judiciaire (art. 3 al. 3 RPFFPM)</w:t>
      </w:r>
    </w:p>
    <w:p>
      <w:r>
        <w:rPr>
          <w:b/>
        </w:rPr>
        <w:t>E. 2.7</w:t>
      </w:r>
    </w:p>
    <w:p>
      <w:r>
        <w:t>En l’espèce, les enfants de la recourante ont été placés par ordonnance du TPI. Partant, dans la mesure où le placement fait suite à une décision judiciaire, il appartient in casu au dernier parent qui avait la garde des enfants de participer aux frais d’entretien liés audit placement, soit la recourante. Le montant de la participation est fondé sur le RDU, lequel est calculé sur la dernière taxation fiscale. Le SPMi a tenu compte du fait que la recourante avait trois enfants à charge et que le RDU ressortant de sa taxation fiscale définitive de 2022 se situait dans la fourchette qui prévoyait un rabais de 20%. Même si la recourante estime que « le calcul opéré par l'autorité pour ne retenir qu'une réduction de 20% du tarif de base est difficilement explicable » et indique « doute[r] de l'exactitude ou de l'actualité des documents » ayant servi de base de calcul, elle ne conteste pas explicitement le montant du RDU retenu – supérieur à CHF 110'001.- et inférieur à CHF 165'000.- –, ni n'explique quel code tarif aurait plutôt dû être appliqué. Rien ne permet, au demeurant, de mettre en cause la quotité du rabais accordé. Au surplus, la recourante se plaint que « certaines dépenses ne semblent pas avoir été prises en compte dans le calcul de [la] participation financière ». Or, comme l'a rappelé l'intimé dans sa réponse au recours – avec indication des coordonnées de la personne à contacter –, en l'absence de toute base légale ou réglementaire en ce sens, les charges de la débitrice des frais de placement ne peuvent être prises en compte que par le biais d'un arrangement de paiement, lequel avait du reste déjà été proposé dans la décision attaquée. Mal fondé, le recours sera donc rejeté. Le prononcé du présent arrêt rend en outre sans objet la demande d'effet suspensif.</w:t>
      </w:r>
    </w:p>
    <w:p>
      <w:r>
        <w:rPr>
          <w:b/>
        </w:rPr>
        <w:t>E. 3</w:t>
      </w:r>
    </w:p>
    <w:p>
      <w:r>
        <w:t>Vu la nature du litige, il ne sera pas perçu d'émolument (art. 87 al. 1 LPA et 11 du règlement sur les frais, émoluments et indemnités en procédure administrative du 30 juillet 1986 - RFPA - E 5 10.03). Compte tenu de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