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A/3932/2019 vom 16. September 2021</w:t>
      </w:r>
    </w:p>
    <w:p>
      <w:r>
        <w:t>GE Cour de justice, 2021-09-16, FR</w:t>
      </w:r>
    </w:p>
    <w:p>
      <w:r>
        <w:rPr>
          <w:b/>
        </w:rPr>
        <w:t xml:space="preserve">Quelle: </w:t>
      </w:r>
      <w:r>
        <w:t>https://mcp.opencaselaw.ch/entscheid/ge_gerichte_A_3932_2019</w:t>
      </w:r>
    </w:p>
    <w:p>
      <w:r>
        <w:t>FR: GE_GERICHTE A/3932/2019 du 16 septembre 2021</w:t>
      </w:r>
    </w:p>
    <w:p>
      <w:r>
        <w:t>IT: GE_GERICHTE A/3932/2019 del 16 settembre 2021</w:t>
      </w:r>
    </w:p>
    <w:p>
      <w:pPr>
        <w:pStyle w:val="Heading2"/>
      </w:pPr>
      <w:r>
        <w:t>Regeste</w:t>
      </w:r>
    </w:p>
    <w:p>
      <w:r>
        <w:t>PERMIS DE CONDUIRE;RETRAIT DE PERMIS;FAUTE GRAVE;PROCÉDURE PÉNALE | LCR.16c.al1.lete; LCR.51; LCR.92.al2; OAC.45.al1</w:t>
      </w:r>
    </w:p>
    <w:p>
      <w:pPr>
        <w:pStyle w:val="Heading2"/>
      </w:pPr>
      <w:r>
        <w:t>Volltext</w:t>
      </w:r>
    </w:p>
    <w:p>
      <w:r>
        <w:t>Genf Tribunal administratif de première instance en matière fiscale 16.09.2021 A/3932/2019 Genève Tribunal administratif de première instance en matière fiscale 16.09.2021 A/3932/2019 Ginevra Tribunal administratif de première instance en matière fiscale 16.09.2021 A/3932/2019</w:t>
      </w:r>
    </w:p>
    <w:p>
      <w:r>
        <w:t>PERMIS DE CONDUIRE;RETRAIT DE PERMIS;FAUTE GRAVE;PROCÉDURE PÉNALE | LCR.16c.al1.lete; LCR.51; LCR.92.al2; OAC.45.al1</w:t>
      </w:r>
    </w:p>
    <w:p>
      <w:r>
        <w:t>A/3932/2019 JTAPI/936/2021 du 16.09.2021 ( LCR ) , REJETE Descripteurs : PERMIS DE CONDUIRE;RETRAIT DE PERMIS;FAUTE GRAVE;PROCÉDURE PÉNALE Normes : LCR.16c.al1.lete; LCR.51; LCR.92.al2; OAC.45.al1 En fait En droit Par ces motifs RÉPUBLIQUE ET CANTON DE GENÈVE POUVOIR JUDICIAIRE A/3932/2019 LCR JTAPI/936/2021 JUGEMENT DU TRIBUNAL ADMINISTRATIF DE PREMIÈRE INSTANCE du 16 septembre 2021 dans la cause Madame A______ contre OFFICE CANTONAL DES VEHICULES EN FAIT 1.             Madame A______ (ci-après : la recourante), domiciliée à B______ (France), est titulaire du permis de conduire français pour la catégorie B depuis le 6 juillet 1976. 2.             Aux termes d’un rapport de renseignements établi par la police genevoise le 21 août 2019, elle avait été impliquée dans un accident de la circulation en date du 12 juillet 2019, vers 23h45, à l'intersection entre la rue C______ et la rue D______. La police a établi que, peu avant l'intersection formée entre la rue C______ et la rue D______, elle s'était déplacée dans la voie de gauche au volant de sa voiture. A la phase lumineuse verte, elle s'était engagée sur le carrefour et avait obliqué à gauche, s'engageant de ce fait sur la rue D______ en direction du pont éponyme. Lors de sa manœuvre, inattentive, elle n'avait pas remarqué que Madame E______, qui circulait dans la même voie et la même direction, avait freiné pour les besoins de la circulation. De facto , un heurt avait eu lieu entre l'avant de son automobile et l'arrière du véhicule de cette dernière. A la suite de ce heurt, elle ne s'était pas arrêtée pour remplir ses devoirs en cas d'accident. Elle avait entrepris des manœuvres pour contourner le véhicule de Mme E______ par la gauche. Alors qu'elle était en train de quitter les lieux de l'accident, Mme E______ avait tenté de la stopper en se plaçant devant le capot de sa voiture. Apeurée par cette réaction, elle ne s'était pas arrêtée, forçant Mme E______ à se décaler sur le côté pour ne pas se faire écraser. La passagère arrière du véhicule de cette dernière s'était alors approchée de sa voiture par la gauche, afin de stopper sa fuite. Alors que ladite passagère se rapprochait d'elle, un second choc était survenu entre le flanc gauche de son véhicule et le flanc de la passagère, laquelle avait chuté au sol et s'était légèrement blessée (à l'arrivée de la police, cette dernière recevait des soins prodigués par les ambulanciers). Quant à elle, elle avait quitté les lieux de l'accident. Elle avait été interpelée plus tard par une patrouille à la route de Thonon, alors qu'elle rentrait chez elle. Lors de son audition, elle n'avait pas reconnu les faits qui lui étaient reprochés. Elle avait en particulier déclaré s'être retrouvée derrière une voiture à l'intersection de la rue C______ et de la rue D______. Pour éviter de rester au milieu de la route, elle avait voulu effectuer une manœuvre pour changer de voie. Elle avait fait une marche arrière, avant de repartir vers l'avant. Elle n'avait cependant pas eu l'impression, ce faisant, d'avoir touché le véhicule qui la précédait, dont la conductrice était toutefois « sortie comme une furie » et avait commencé à frapper très fortement la vitre droite de sa voiture, avant de se placer devant celle-ci et taper sur son capot. Elle avait alors commencé à avancer « un petit peu et doucement », afin que Mme E______ se dégage de devant sa voiture. Celle-ci s'était décalée, de sorte qu'elle avait eu la voie libre. A cet instant, la passagère arrière gauche du véhicule de Mme E______ en était sortie, avait commencé à lui courir après et était tombée toute seule, alors qu'elle se trouvait derrière son véhicule, à environ 3 m, ce qu'elle avait remarqué dans son rétroviseur central. Elle avait ensuite pris peur et avait donc quitté les lieux de l'accident. Les caméras filmant le carrefour en question n'étaient pas orientées dans la bonne direction, de sorte que la scène n'avait pas été enregistrée. 3.             Par courrier du 29 août 2019, l'office cantonal des véhicules (ci-après : OCV) lui a fait savoir que les autorités de police lui avaient transmis le rapport précité, lui indiquant qu'une mesure administrative pouvait être prise à son encontre, indépendamment de l'amende ou d'une autre sanction pénale. Un délai de quinze jours ouvrables lui était imparti pour produire ses observations écrites. 4.             Elle s'est exprimée par courrier du 9 septembre 2019. En substance, elle a repris les explications qu'elle avait données à la police. 5.             Par décision du 20 septembre 2019, prise en application de l'art. 16 c de la loi fédérale sur la circulation routière du 19 décembre 1958 (LCR - RS 741.01), l'OCV lui a fait interdiction de faire usage de son permis étranger en Suisse pour une durée de trois mois, retenant qu'elle avait fait preuve d'inattention, avait heurté un véhicule freinant pour les besoins de la circulation, forçant la conductrice dudit véhicule à faire un écart pour ne pas se faire percuter, heurté une passagère dudit véhicule, en la faisant chuter au sol, et n'avait pas rempli ses devoirs résultant d'un accident avec blessé. 6.             Par acte du 23 octobre 2019, sous la plume de son conseil, elle a recouru auprès du Tribunal administratif de première instance (ci-après : le tribunal) contre cette décision, dont elle a requis l'annulation, sous suite de frais et dépens. A titre préalable, elle a sollicité la suspension de la cause jusqu'à droit jugé dans la procédure pénale ouverte à son encontre. S'il était certes possible qu'une « légère touchette » eût eu lieu entre son véhicule et celui de Mme E______ (elle était néanmoins persuadée qu'il n'y avait eu aucun heurt et, a fortiori , qu'aucun dégât n'avait été causé), l'incident ne s'était aucunement déroulé comme le retenait la décision entreprise. En outre, elle contestait fermement avoir heurté d'une quelconque manière la passagère de Mme E______, laquelle avait simplement trébuché en courant vers son véhicule. Elle entendait démontrer, dans le cadre de la procédure pénale ouverte à son encontre, que la version des faits relatée par Mme E______ était totalement fausse, afin de solliciter son acquittement. La procédure administrative n'ayant pas été suspendue par l'OCV, bien que le rapport de renseignements indiquât que les faits étaient contestés, elle n'avait pas d'autre choix que de déposer un recours. Elle sollicitait d'ores et déjà le droit de compléter ultérieurement ce dernier, en fait et en droit, une fois le jugement pénal rendu. Elle concluait néanmoins d'ores et déjà à l'annulation de la décision entreprise, dès lors qu'elle contestait les faits lui étant reprochés et démontrerait qu'aucune infraction ne pouvait lui être imputée, de sorte qu'aucune mesure administrative n'était justifiée. 7.             Par décision du 11 novembre 2019, le tribunal a suspendu la cause jusqu'à droit jugé dans la procédure pénale ouverte à l'encontre de la recourante. 8.             Par jugement du 10 mars 2021, entré en force, le Tribunal de police a condamné cette dernière à une peine pécuniaire de 90 jours-amende, avec sursis pendant trois ans, et à une amende de CHF 500.- pour lésions corporelles par négligence (art. 125 al. 1 du Code pénal suisse du 21 décembre 1937 - CP - RS 311.0), tentative d'entrave aux mesures de constatation de l'incapacité de conduire (art. 22 al. 1 CP cum 91 a al. 1 LCR) et violation des obligations en cas d'accident (art. 92 al. 2 LCR). 9.             Dans ses observations du 15 avril 2021, auxquelles il a joint le jugement précité, l'OCV a conclu au rejet du recours. 10.         La recourante, dont le conseil avait cessé d'assurer la défense de ses intérêts et révoqué l'élection de domicile faite en son étude le 29 juin 2020, n'a pas répliqué dans le délai - 18 mai 2021 - que le tribunal lui avait octroyé à cette fin par courrier du 19 avril 2021. EN DROIT 1.            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par la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5.            Pour déterminer la durée et s'il y a lieu de prononcer un retrait d'admonestation, la LCR distingue les infractions légères (art. 16 a LCR), moyennement graves (art. 16 b LCR) et graves (art. 16 c LCR). 6.            Commet en particulier une infraction grave, selon l'art. 16 c al. 1 LCR, la personne qui, en violant gravement les règles de la circulation, met sérieusement en danger la sécurité d'autrui ou en prend le risque (let. a),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 ou prend la fuite après avoir blessé ou tué une personne (let. e). 7.            A teneur de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8.            Selon l'art. 92 LCR (« violation des obligations en cas d'accident »), est puni de l'amende quiconque viole, lors d'un accident, les obligations que lui impose la présente loi (al. 1). Est puni d'une peine privative de liberté de trois ans au plus ou d'une peine pécuniaire le conducteur qui prend la fuite après avoir tué ou blessé une personne lors d'un accident de la circulation (al. 2). La notion de délit de fuite décrite à l'art. 92 al. 2 LCR et à l'art. 16 c al. 1 let. e LCR est identique (cf. André BUSSY/Baptiste RUSCONI/Yvan JEANNERET/André KUHN/Cédric MIZEL/Christoph MÜLLER, Code suisse de la circulation routière commenté, 4 ème éd., 2015, n. 2.5 ad art. 16 LCR p.932 ; Yvan JEANNERET, Les dispositions pénales de la loi sur la circulation routière (LCR) du 19 décembre 1958, 2007, n. 232 p. 207, note de bas de page n. 295 et les références citées). Le conducteur auteur d'un délit de fuite encourra donc systématiquement un retrait d'admonestation de son permis de conduire (cf. Ibid ., n. 232 p. 207). 9.            Sous le titre « constat de l’incapacité de conduire », l'art. 55 LCR prévoit que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est ordonnée si la personne concernée : a) présente des indices laissant présumer une incapacité de conduire qui n’est pas imputable à l’alcool, b) s’oppose ou se dérobe à l’alcootest ou fait en sorte que cette mesure ne puisse atteindre son but ou c) exige une analyse de l’alcool dans le sang (al. 3). Pour des raisons importantes, la prise de sang peut être effectuée contre la volonté de la personne suspectée et tout autre moyen permettant de prouver l’incapacité de conduire de la personne concernée est réservé (al. 4). L'entrave aux mesures de constatation de l’incapacité de conduire constitue par ailleurs une infraction pénale réprimée par l'art. 91 a LCR, réalisée par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10.        Aux termes de l'art. 26 al. 1 LCR, chacun doit se comporter dans la circulation de manière à ne pas gêner ni mettre en danger ceux qui utilisent la route conformément aux règles établies. 11.        Selon l'art. 31 al. 1 LCR, le conducteur doit rester constamment maître de son véhicule, de façon à pouvoir se conformer aux devoirs de prudence. Cela signifie qu'il doit être à tout moment en mesure de réagir utilement aux circonstances (cf. arrêt du Tribunal fédéral 1C_577/2018 du 9 avril 2019 consid. 2.2 ; 6B_1006/2016 du 24 juillet 2017 consid. 2.1). Le conducteur doit vouer à la route et au trafic toute l'attention possible, le degré de l'attention requise devant s'apprécier au regard des circonstances d'espèce, telles que la densité du trafic, la configuration des lieux, l'heure, la visibilité et les sources de danger prévisibles (ATF 137 IV 290 consid. 3.6 et les références citées ; arrêts du Tribunal fédéral 1C_144/2018 du 10 décembre 2018 consid. 2.2 ; 1C_512/2017 du 28 février 2018 consid. 3.2 ; 6B_69/2017 du 28 novembre 2017 consid. 2.2.1 ; 1C_425/2012 du 17 décembre 2012 consid. 3.2). L'attention requise du conducteur implique qu'il soit en mesure de parer rapidement aux dangers qui menacent la vie, l'intégrité corporelle ou les biens matériels d'autrui. La maîtrise du véhicule signifie que le conducteur doit être à tout moment en mesure d'actionner rapidement les commandes de son véhicule, de façon à manœuvrer immédiatement d'une manière appropriée aux circonstances en présence d'un danger quelconque (cf. arrêts du Tribunal fédéral 6B_909/2014 du 21 mai 2015 consid. 2.1 ; 6B_873/2014 du 5 janvier 2015 consid. 2.1 ; 6B_216/2010 du 11 mai 2010 consid. 5.1 ; 6S.186/2002 du 25 juillet 2002 consid. 2.2 : cf. aussi not. ATA/661/2011 du 18 octobre 2011 ; ATA/548/2008 du 28 octobre 2008 ; ATA/601/2007 du 20 novembre 2007 ; ATA/557/2005 du 16 août 2005 et les références citées). La perte de maîtrise du véhicule est une violation du devoir de prudence. Selon la jurisprudence, elle ne constitue pas toujours une infraction grave au sens de l'art. 16 c al. 1 let. a LCR. Selon les circonstances - en particulier selon le degré de mise en danger de la sécurité d'autrui et selon la faute de l'intéressé - l'infraction peut être qualifiée de moyennement grave, au sens de l'art. 16 b al. 1 let. a LCR, voire même de légère, au sens de l'art. 16 a al. 1 let. a LCR (cf. arrêts du Tribunal fédéral 1C_525/2012 du 24 octobre 2013 consid. 2.2 ; 1C_235/2007 du 29 novembre 2007 consid. 2.2). 12.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 13 juillet 2010 consid. 2.1 ; cf. aussi ATA/622/2016 du 19 juillet 2016 consid. 5b). 13.        L'art. 16 c al. 2 let. a LCR prévoit qu'après une infraction grave, le permis de conduire est retiré pour trois mois au minimum. Si le conducteur a des antécédents (ce qui n'est pas le cas en l'occurrence), la durée minimum du retrait est supérieure (cf. art. 16 c al. 2 let. b, c, d et e LCR). 14.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15.        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 16.        En l'occurrence, la recourante a été définitivement reconnue coupable d’infraction à l'art. 92 al. 2 LCR par le Tribunal de police. Les faits établis par ce dernier, reposant sur le rapport de police précité et de toute évidence identiques à ceux pris en compte par l'OCV, ne peuvent donc plus être remis en cause. Il en découle qu'une infraction grave, au sens de l'art. 16 c al. 1 let. e LCR, doit être retenue à son détriment. Cela étant, l'OCV ne s'est pas écarté du minimum légal prévu par l'art. 16 c al. 2 let. a LCR en fixant à trois mois la durée de l'interdiction de circuler en Suisse opposée à la recourante. Etant liée par cette durée, qui constitue le minimum légal incompressible devant sanctionner l'infraction en cause, il n'a en aucune mesure excédé ou abusé de son pouvoir d'appréciation. Dans ces circonstances, il n'est pas nécessaire de se déterminer sur la prise en compte et la qualification juridique, sur le plan administratif, de la tentative d'infraction à l'art. 91 a al. 1 LCR dont la recourante a également été reconnue coupable pénalement et d'une éventuelle violation des art. 26 al. 1 et 31 al. 1 LCR, que le Tribunal de police n'a en revanche pas sanctionnée (en application de l'art. 90 al. 1 ou 2 LCR), dès lors que ces infractions (supplémentaires) n'auraient pas d'influence sur la durée de la mesure querellée. La décision querellée est donc conforme au droit. 17.        Ne reposant sur aucun motif valable, le recours sera rejeté. 18.        Vu l'issue du litige, un émolument de CHF 500.- sera mis à la charge de la recourante, qui succombe, en application de l'art. 87 al. 1 LPA et du règlement sur les frais, émoluments et indemnités en procédure administrative du 30 juillet 1986 (RFPA - E 5 10.03). Cette dernière n'a pas droit à une indemnité de procédure (art. 87 al. 2 LPA a contrario ). PAR CES MOTIFS LE TRIBUNAL ADMINISTRATIF DE PREMIÈRE INSTANCE 1.            déclare recevable le recours interjeté le 23 octobre 2019 par Madame A______ contre la décision prise à son égard par l'office cantonal des véhicules le 20 septembre 2019 ; 2.            le rejette ; 3.            met un émolument de CHF 500.- à la charge de Madame A______, lequel est couvert par son avance de frais du même montant ; 4.            dit que, conformément aux art. 132 LOJ, 62 al. 1 let. a et 65 LPA, le présent jugement est susceptible de faire l'objet d'un recours auprès de la chambre administrative de la Cour de justice (10, rue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