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A/3930/2021 vom 23. Juni 2022</w:t>
      </w:r>
    </w:p>
    <w:p>
      <w:r>
        <w:t>GE Cour de justice, 2022-06-23, FR</w:t>
      </w:r>
    </w:p>
    <w:p>
      <w:r>
        <w:rPr>
          <w:b/>
        </w:rPr>
        <w:t xml:space="preserve">Quelle: </w:t>
      </w:r>
      <w:r>
        <w:t>https://mcp.opencaselaw.ch/entscheid/ge_gerichte_A_3930_2021</w:t>
      </w:r>
    </w:p>
    <w:p>
      <w:r>
        <w:t>FR: GE_GERICHTE A/3930/2021 du 23 juin 2022</w:t>
      </w:r>
    </w:p>
    <w:p>
      <w:r>
        <w:t>IT: GE_GERICHTE A/3930/2021 del 23 giugno 2022</w:t>
      </w:r>
    </w:p>
    <w:p>
      <w:pPr>
        <w:pStyle w:val="Heading2"/>
      </w:pPr>
      <w:r>
        <w:t>Erwägungen</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LPP).![endif]&gt;![if&gt;</w:t>
      </w:r>
    </w:p>
    <w:p>
      <w:r>
        <w:rPr>
          <w:b/>
        </w:rPr>
        <w:t>E. 6</w:t>
      </w:r>
    </w:p>
    <w:p>
      <w:r>
        <w:t>Conformément à l’art. 66 al. 2 LPP, l’employeur est le débiteur de la totalité des cotisations envers l’institution de prévoyance. Celle-ci peut majorer d’un intérêt moratoire les cotisations payées tardivement. ![endif]&gt;![if&gt;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![endif]&gt;![if&gt;</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![endif]&gt;![if&gt;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10</w:t>
      </w:r>
    </w:p>
    <w:p>
      <w:r>
        <w:t>En l’espèce, selon le contrat d’affiliation liant les parties, et par renvoi aux « conditions générales », ch. 2.3, le défendeur s’est engagé à payer les cotisations sociales facturées par la demanderesse, ainsi que les indemnités liées aux frais de conseil et de prise en charge (ch. 2.3, let. a). Le défendeur n’a jamais fait valoir aucun motif justifiant qu’il se soustraie au paiement et n’a jamais contesté les montants qui lui étaient réclamés par la demanderesse. Il a, plusieurs fois, tardé à régler le montant des cotisations et indemnités réclamées, attendant presque systématiquement le stade de la sommation de payer pour s’acquitter de ses obligations. Il a formé opposition au commandement de payer qui lui a été adressé en lien avec sa dette envers la demanderesse, sans motiver sa position. La demanderesse a établi, par décompte, les versements du défendeur et le montant de sa dette envers celle-ci, au 26 novembre 2020.![endif]&gt;![if&gt;</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![endif]&gt;![if&gt;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donc possible pour autant qu’elle figure dans le règlement concernant les frais. En l’occurrence, le règlement concernant les frais (valable au 3 juillet 2019) prévoit, sous ch. 2.3 « Autres frais d’administration », la facturation de frais pour 1 er rappel de CHF 50.-, pour 2 ème rappel de CHF 100.-, pour réquisition de poursuite de CHF 300.- et pour mainlevée d’opposition de CHF 1'250.-. Les frais d’annulation du contrat s’élèvent, au minimum, à CHF 300.-. Les « conditions générales » prévoient sous la rubrique « Financement », ch. 2.3 let. f, qu’un intérêt de 6 % est prélevé sur les créances non payées à l’échéance. Compte tenu de ce qui précède, la chambre de céans considère que le règlement concernant les frais autorise la demanderesse à réclamer le paiement, non seulement des primes échues, mais également le montant des frais de rappel, des frais d’annulation du contrat, des frais de réquisition de poursuite et de mainlevée, ainsi qu’un intérêt de 6 % sur le paiement des primes et indemnités de conseil échues. Dans son extrait de compte allant du 1 er octobre 2017 au 31 décembre 2021, daté du 21 janvier 2021, la demanderesse a récapitulé l’ensemble des mouvements de débit et de crédit, mentionnant les contributions sociales, les indemnités liées aux activités de conseil et de prise en charge, les frais de rappel, respectivement par CHF 20.- et CHF 50.- et de sommation, par CHF 100.-, ainsi que les intérêts débiteurs. Sont également mentionnés, en dernière page, les frais de résiliation du contrat par CHF 300.-, ainsi que les frais de poursuite par CHF 300.-. Le total des montant dus par le défendeur à la demanderesse ressort de l’extrait des primes susmentionné et des documents fournis par cette dernière ; la chambre de céans considère qu’il présente un degré de vraisemblance prépondérante et le montant du capital réclamé, soit CHF 22'149.95, doit être admis.</w:t>
      </w:r>
    </w:p>
    <w:p>
      <w:r>
        <w:rPr>
          <w:b/>
        </w:rPr>
        <w:t>E. 12</w:t>
      </w:r>
    </w:p>
    <w:p>
      <w:r>
        <w:t>La demanderesse conclut encore à l’octroi d’un intérêt moratoire à 6 %, dès le 25 septembre 2020 applicable à la créance due. La date du 25 septembre 2020 correspond effectivement au terme du délai octroyé pour le paiement du montant de CHF 22'149.95, selon courrier de mise en demeure du 3 septembre 2020.![endif]&gt;![if&gt; Prévu dans les conditions générales, le taux d’intérêt de 6 % depuis cette date doit donc être admis.</w:t>
      </w:r>
    </w:p>
    <w:p>
      <w:r>
        <w:rPr>
          <w:b/>
        </w:rPr>
        <w:t>E. 13</w:t>
      </w:r>
    </w:p>
    <w:p>
      <w:r>
        <w:t>Le montant de CHF 50.- pour frais de sommation est ensuite ajouté dans la lettre de rappel du 23 octobre 2020, de même que le montant de CHF 300.- pour frais de poursuite, ce qui ascende à CHF 22'499.95 correspondant à la somme réclamée dans le commandement de payer notifié le 3 décembre 2020.![endif]&gt;![if&gt; Prévus par le règlement sur les frais, ces deux montants (CHF 50.- + CHF 300.-) doivent être admis. Le montant réclamé de CHF 22'499.95 correspond au montant vu supra, auquel la demanderesse a ajouté, dans les conclusions de sa demande en paiement, le montant de CHF 1’250.-, correspondant aux frais forfaitaires de mainlevée à teneur du règlement sur les frais, le tout avec un taux d’intérêt de 6 % admis entre les parties. Les calculs étant corrects et correspondant aux obligations admises par le défendeur par signature du contrat d’affiliation, ce dernier sera condamné à payer le montant réclamé par la demanderesse, avec l’intérêt contractuel convenu.</w:t>
      </w:r>
    </w:p>
    <w:p>
      <w:r>
        <w:rPr>
          <w:b/>
        </w:rPr>
        <w:t>E. 14</w:t>
      </w:r>
    </w:p>
    <w:p>
      <w:r>
        <w:t>Reste à examiner la conclusion de la demanderesse tendant à obtenir la mainlevée définitive de l’opposition formée au commandement de payer dans la poursuite n° 20 335495 A. ![endif]&gt;![if&gt;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au défendeur le 3 décembre 2020, date à partir de laquelle le délai de péremption d’un an a commencé à courir (ATF 125 III 45 consid. 3b). Par conséquent, la poursuite n’était pas périmée lorsque la demanderesse a saisi la chambre de céans, le 17 novembre 2021. En outre, le défendeur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à hauteur de CHF 22'499.95 dans la poursuite n o 20 335495 A, avec un intérêt moratoire de 6 % dès le 25 septembre 2020. En ce qui concerne les frais de poursuite, ils sont d'office supportés par le débiteur lorsque la poursuite aboutit (JdT 1974 III 32).</w:t>
      </w:r>
    </w:p>
    <w:p>
      <w:r>
        <w:rPr>
          <w:b/>
        </w:rPr>
        <w:t>E. 15</w:t>
      </w:r>
    </w:p>
    <w:p>
      <w:r>
        <w:t>Enfin, la demanderesse conclut à ce que le défendeur soit condamné à des dépens, en raison de son comportement léger ou téméraire. ![endif]&gt;![if&gt; L'art. 73 al. 2 LPP précise que les cantons doivent prévoir une procédure simple, rapide et, en principe, gratuite. L'art. 89H al. 1 LPA prévoit quant à lui que la procédure est gratuite pour les parties, sous réserve de l'al. 4 (relatif à l'assurance-invalidité).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Une indemnité est allouée au recourant qui obtient gain de cause (art. 89H al. 3 LPA). Il ressort du dossier que le défendeur a constamment tardé à payer les cotisations dues et ce avant même le dépôt de l’action en paiement. Il s'est opposé au commandement de payer sans en motiver les raisons et n'a jamais répondu aux mises en demeure de la demanderesse, pas plus qu'il n'a contesté devoir les montants réclamés. Dès lors et conformément à la jurisprudence citée supra, la chambre de céans considère que le défendeur a agi avec légèreté et peut donc être condamné à payer des dépens à la demanderesse, représentée par un avocat. Compte tenu des démarches effectuées, soit le dépôt d'une action en paiement, la chambre de céans fixera le montant des dépens à CHF 1'200.-.</w:t>
      </w:r>
    </w:p>
    <w:p>
      <w:r>
        <w:rPr>
          <w:b/>
        </w:rPr>
        <w:t>E. 16</w:t>
      </w:r>
    </w:p>
    <w:p>
      <w:r>
        <w:t>L’art. 89H al. 1 LPA prévoit quant à lui que la procédure est gratuite pour les parties, sous réserve de l’al. 4 (relatif à l’assurance-invalidité).![endif]&gt;![if&gt;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