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A/3927/2016 vom 14. März 2017</w:t>
      </w:r>
    </w:p>
    <w:p>
      <w:r>
        <w:t>GE Cour de justice, 2017-03-14, FR</w:t>
      </w:r>
    </w:p>
    <w:p>
      <w:r>
        <w:rPr>
          <w:b/>
        </w:rPr>
        <w:t xml:space="preserve">Quelle: </w:t>
      </w:r>
      <w:r>
        <w:t>https://mcp.opencaselaw.ch/entscheid/ge_gerichte_A_3927_2016</w:t>
      </w:r>
    </w:p>
    <w:p>
      <w:r>
        <w:t>FR: GE_GERICHTE A/3927/2016 du 14 mars 2017</w:t>
      </w:r>
    </w:p>
    <w:p>
      <w:r>
        <w:t>IT: GE_GERICHTE A/3927/2016 del 14 marzo 2017</w:t>
      </w:r>
    </w:p>
    <w:p>
      <w:pPr>
        <w:pStyle w:val="Heading2"/>
      </w:pPr>
      <w:r>
        <w:t>Erwägungen</w:t>
      </w:r>
    </w:p>
    <w:p>
      <w:r>
        <w:rPr>
          <w:b/>
        </w:rPr>
        <w:t>E. 1</w:t>
      </w:r>
    </w:p>
    <w:p>
      <w:r>
        <w:t>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w:t>
      </w:r>
    </w:p>
    <w:p>
      <w:r>
        <w:rPr>
          <w:b/>
        </w:rPr>
        <w:t>E. 2</w:t>
      </w:r>
    </w:p>
    <w:p>
      <w:r>
        <w:t>…</w:t>
      </w:r>
    </w:p>
    <w:p>
      <w:r>
        <w:rPr>
          <w:b/>
        </w:rPr>
        <w:t>E. 3</w:t>
      </w:r>
    </w:p>
    <w:p>
      <w:r>
        <w:t>Est réputée perte de gain la différence entre le gain assuré et le gain intermédiaire, ce dernier devant être conforme, pour le travail effectué, aux usages professionnels et locaux. Les gains accessoires ne sont pas pris en considération (art. 23, al. 3). 3bis Le Conseil fédéral décide de la prise en considération du gain intermédiaire lorsque les mêmes parties reprennent les rapports de travail dans le délai d'un an ou les reconduisent après une résiliation pour cause de modification du contrat de travail.</w:t>
      </w:r>
    </w:p>
    <w:p>
      <w:r>
        <w:rPr>
          <w:b/>
        </w:rPr>
        <w:t>E. 4</w:t>
      </w:r>
    </w:p>
    <w:p>
      <w:r>
        <w:t>Le droit à la compensation de la perte de gain est limité aux douze premiers mois de l'activité visée à l'al. 1; pour les assurés qui ont une obligation d'entretien envers des enfants de moins de 25 ans ou qui sont âgés de 45 ans ou plus il est limité au terme du délai-cadre d'indemnisation.</w:t>
      </w:r>
    </w:p>
    <w:p>
      <w:r>
        <w:rPr>
          <w:b/>
        </w:rPr>
        <w:t>E. 5</w:t>
      </w:r>
    </w:p>
    <w:p>
      <w:r>
        <w:t>Si l'assuré, afin d'éviter d'être au chômage, accepte d'exercer pendant au moins une période de contrôle une activité à plein temps pendant laquelle il touche une rémunération inférieure aux indemnités auxquelles il aurait droit, l'art. 11, al. 1, n'est pas applicable durant les délais fixés à l'al. 4 ». Si le salaire versé n’est pas conforme au tarif usuel dans la profession et la localité, la caisse l’adapte au salaire en usage pour ce genre de travail. La caisse examine si le salaire est conforme aux usages professionnels et locaux en se fondant sur les prescriptions légales, la statistique des salaires, l’échelle des salaires usuels de l’entreprise ou de la branche, les contrats-type ou les conventions collectives de travail. Elle peut le cas échéant se procurer les directives émises par les associations professionnelles (Bulletin LACI, IC/C134). L’art. 41 a de l’ordonnance sur l'assurance-chômage obligatoire et l'indemnité en cas d'insolvabilité du 31 août 1983 (ordonnance sur l’assurance-chômage, OACI - RS 837.02) précise que lorsque l’assuré réalise un revenu inférieur à son indemnité de chômage, il a droit à des indemnités compensatoires pendant le délai-cadre d’indemnisation. Le revenu provenant d’un gain intermédiaire est pris en compte dans chaque période de contrôle pendant laquelle la prestation de travail est fournie (principe de la survenance). La date à laquelle l’assuré réalise sa créance est sans importance (Bulletin LACI IC/C133 ; arrêt du Tribunal fédéral 8C 358/2007 du 26 mai 2008 consid. 5.1). 5.        En l’espèce, l’assurée admet avoir travaillé dans un ménage privé, mais ne comprend pas pour quelle raison le revenu réalisé grâce à ce travail devrait être soustrait des indemnités de chômage auxquelles elle a droit.![endif]&gt;![if&gt; 6.        Force est de constater que ce revenu constitue manifestement un gain intermédiaire, dans la mesure où l’assurée l’a perçu pour le travail qu’elle a accompli de mars à décembre 2013, soit pendant une période de contrôle.![endif]&gt;![if&gt; Par conséquent, c’est à bon droit que la caisse de chômage a considéré que l’assurée avait réalisé un gain intermédiaire auprès d’un ménage privé en qualité de salariée et qu’elle l’a pris en compte sans autre déduction, conformément aux art. 24 LACI et 41 a al. 1 OACI. Il en résulte ainsi qu’un montant de CHF 2'402.10 lui a été versé en trop. 7.        Aux termes de l’art. 25 LPGA, auquel renvoie l’art. 95 al. 1 LACI,![endif]&gt;![if&gt; «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3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 Selon la jurisprudence rendue sous l’empire de l’art. 47 al. 1 LAVS, l’obligation de restituer suppose en outre que soient remplies les conditions d’une reconsidération ou d’une révision procédurale de la décision – formelle ou non – par laquelle les prestations en cause ont été allouées (ATF 130 V 318 consid. 5.2). En vertu de l’art. 53 LPGA, les décisions et les décisions sur opposition formellement passées en force sont soumises à révision si l’assuré ou l’assureur découvre subséquemment des faits nouveaux importants ou trouve des nouveaux moyens de preuves qui ne pouvaient être produits auparavant. L’assureur peut revenir sur les décisions ou sur les décisions sur opposition formellement passées en force lorsqu’elles sont manifestement erronées et que leurs rectifications revêtent une importance notable. En règle générale, l’octroi illégal de prestations est réputé sans nulle doute erroné (ATF 126 V 399 consid. 2b/bb). 8.        En l’espèce, la caisse de chômage a eu connaissance du fait que l’assurée réalisait des gains intermédiaires, lorsqu’elle a pris connaissance de l’ASA 2013, à elle communiquée par la caisse cantonale genevoise de compensation en août 2015.![endif]&gt;![if&gt; En exigeant la restitution du montant de CHF 2'402.10, par décision du 8 septembre 2015, la caisse de chômage a agi dans le délai d’un an au sens de l’art. 25 al. 2 LPGA. Quant aux prestations dont le remboursement est réclamé, elles ont été versées dans les cinq années précédentes, de sorte que les conditions formelles posées à la restitution des prestations par l’art. 25 LPGA sont réalisées. Pour le surplus, le montant de la restitution n’est pas contesté et ne paraît pas contestable. 9.        Il convient à ce stade de rappeler que la restitution ne peut être exigée lorsque l’intéressé était de bonne foi et qu’il le mettrait dans une situation difficile (art. 25 al. 1, 2 ème phrase LPGA).![endif]&gt;![if&gt; Selon l’art. 4 al. 4 OPGA, la demande de remise doit être présentée par écrit. Elle doit être motivée, accompagnée des pièces nécessaires et déposée au plus tard trente jours à compter de l’entrée en force de la décision de restitution. Il s’agit là d’un délai d’ordre et non de péremption (ATF 132 V 42 , consid. 3). Pour le surplus, dans la mesure où la demande de remise ne peut être traitée sur le fond que si la décision de restitution est entrée en force, la remise et son étendue font l’objet d’une procédure distincte (ATF C 264/05 consid. 2.1). 10.    En l’espèce, l’assurée a d’ores et déjà déposé une demande de remise. La décision quant à cette demande ne pourra être rendue qu’une fois le présent jugement entré en force. L’OCE ne saurait ainsi se prononcer sur la demande de remise avant cette date.![endif]&gt;![if&gt; 11.    Au vu de ce qui précède, le recours est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