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A/3924/2016 vom 27. Januar 2017</w:t>
      </w:r>
    </w:p>
    <w:p>
      <w:r>
        <w:t>GE Cour de justice, 2017-01-27, FR</w:t>
      </w:r>
    </w:p>
    <w:p>
      <w:r>
        <w:rPr>
          <w:b/>
        </w:rPr>
        <w:t xml:space="preserve">Quelle: </w:t>
      </w:r>
      <w:r>
        <w:t>https://mcp.opencaselaw.ch/entscheid/ge_gerichte_A_3924_2016</w:t>
      </w:r>
    </w:p>
    <w:p>
      <w:r>
        <w:t>FR: GE_GERICHTE A/3924/2016 du 27 janvier 2017</w:t>
      </w:r>
    </w:p>
    <w:p>
      <w:r>
        <w:t>IT: GE_GERICHTE A/3924/2016 del 27 gennaio 2017</w:t>
      </w:r>
    </w:p>
    <w:p>
      <w:pPr>
        <w:pStyle w:val="Heading2"/>
      </w:pPr>
      <w:r>
        <w:t>Erwägungen</w:t>
      </w:r>
    </w:p>
    <w:p>
      <w:r>
        <w:rPr>
          <w:b/>
        </w:rPr>
        <w:t>E. 1</w:t>
      </w:r>
    </w:p>
    <w:p>
      <w:r>
        <w:t>La question de la recevabilité du recours sera en l'état réservée, et son examen reporté à l'arrêt au fond.![endif]&gt;![if&gt;</w:t>
      </w:r>
    </w:p>
    <w:p>
      <w:r>
        <w:rPr>
          <w:b/>
        </w:rPr>
        <w:t>E. 2</w:t>
      </w:r>
    </w:p>
    <w:p>
      <w:r>
        <w:t>Selon l'art. 66 de la loi sur la procédure administrative du 12 septembre 1985 (LPA - E 5 10), en cas de recours contre une loi constitutionnelle, une loi ou un règlement du Conseil d’État, le recours n’a pas effet suspensif (al. 2) ; toutefois, lorsqu'aucun intérêt public ou privé prépondérant ne s’y oppose, la juridiction de recours peut, sur la demande de la partie dont les intérêts sont gravement menacés, restituer l’effet suspensif (al. 3).![endif]&gt;![if&gt;</w:t>
      </w:r>
    </w:p>
    <w:p>
      <w:r>
        <w:rPr>
          <w:b/>
        </w:rPr>
        <w:t>E. 3</w:t>
      </w:r>
    </w:p>
    <w:p>
      <w:r>
        <w:t>Les décisions sur mesures provisionnelles, y compris sur effet suspensif, sont prises par le président ou le vice-président ou, en cas d’urgence, par un autre juge de la chambre constitutionnelle (art. 21 al. 2 et 76 LPA).![endif]&gt;![if&gt;</w:t>
      </w:r>
    </w:p>
    <w:p>
      <w:r>
        <w:rPr>
          <w:b/>
        </w:rPr>
        <w:t>E. 4</w:t>
      </w:r>
    </w:p>
    <w:p>
      <w:r>
        <w:t>Selon l'exposé des motifs du PL 11311 portant mise en œuvre de la Cour constitutionnelle, en matière de recours abstrait, il n'est pas concevable que le dépôt du recours bloque le processus législatif ou réglementaire ; il a dès lors été proposé de supprimer l'effet suspensif automatique, la chambre constitutionnelle conservant toute latitude pour restituer, totalement ou partiellement, l'effet suspensif lorsque les conditions légales de cette restitution sont données (PL 11311, p. 15).![endif]&gt;![if&gt;</w:t>
      </w:r>
    </w:p>
    <w:p>
      <w:r>
        <w:rPr>
          <w:b/>
        </w:rPr>
        <w:t>E. 5</w:t>
      </w:r>
    </w:p>
    <w:p>
      <w:r>
        <w:t>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cités).![endif]&gt;![if&gt; 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w:t>
      </w:r>
    </w:p>
    <w:p>
      <w:r>
        <w:rPr>
          <w:b/>
        </w:rPr>
        <w:t>E. 6</w:t>
      </w:r>
    </w:p>
    <w:p>
      <w:r>
        <w:t>Par ailleurs, et dans la pratique du Tribunal fédéral tout du moins, en matière de contrôle abstrait des normes, l'effet suspensif n'est en principe pas accordé, sous réserve que les chances de succès du recours apparaissent à ce point manifestes qu'il se justifie de déroger au principe (Claude-Emmanuel DUBEY, La procédure de recours devant le Tribunal fédéral, in François BELLANGER/Thierry TANQUEREL [éd.], Le contentieux administratif, 2013, 137-178, p. 167).![endif]&gt;![if&gt;</w:t>
      </w:r>
    </w:p>
    <w:p>
      <w:r>
        <w:rPr>
          <w:b/>
        </w:rPr>
        <w:t>E. 7</w:t>
      </w:r>
    </w:p>
    <w:p>
      <w:r>
        <w:t>L'interdiction de la rétroactivité (proprement dite) des lois, qui découle notamment des art. 5 al. 1 et 9 Cst. (138 I 189 consid. 3.4 ; arrêt du Tribunal fédéral 2C_806/2012 du 12 juillet 2013 consid. 8.2, non publié in ATF 139 I 229 ; cf., en droit privé, art. 1 Tit. fin. du Code civil suisse du 10 décembre 1907 - CC - RS 210 ; ATF 133 III 105 consid. 2.1.1 ; arrêt du Tribunal fédéral 5A_690/2011 du 10 janvier 2012 consid. 3.2), fait obstacle à l'application d'une norme à des faits entièrement révolus avant son entrée en vigueur.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(ATF 140 V 154 consid. 6.3.2 ; 138 I 189 consid. 3.4 ; 122 II 113 consid. 3b ; arrêt du Tribunal fédéral 2C_273/2014 du 23 juillet 2014).![endif]&gt;![if&gt;</w:t>
      </w:r>
    </w:p>
    <w:p>
      <w:r>
        <w:rPr>
          <w:b/>
        </w:rPr>
        <w:t>E. 8</w:t>
      </w:r>
    </w:p>
    <w:p>
      <w:r>
        <w:t>En l'espèce, la loi querellée a été adoptée le 15 décembre 2015 par le Grand Conseil, mais a fait l'objet d'un référendum et n'a été valablement adoptée par le corps électoral que le 25 septembre 2016 puis promulguée le 21 octobre 2016, alors que la date d'entrée en vigueur prévue par le texte légal était le 1 er janvier 2016. Se pose dès lors pour l'année fiscale 2016 – dont la taxation a lieu cette année, soit en 2017 – un très sérieux problème de rétroactivité proprement dite, les effets de la loi (génératrice d'impôt dès lors qu'elle diminue le montant possible d'une déduction fiscale sur le revenu) étant attachés à des faits s'étant produits avant son adoption définitive.![endif]&gt;![if&gt;</w:t>
      </w:r>
    </w:p>
    <w:p>
      <w:r>
        <w:rPr>
          <w:b/>
        </w:rPr>
        <w:t>E. 9</w:t>
      </w:r>
    </w:p>
    <w:p>
      <w:r>
        <w:t>Dès lors, même si les griefs de la recourante dans son ensemble – y compris sur ce point – doivent faire l'objet d'une instruction avant que la chambre de céans ne puisse se prononcer sur le fond de son recours, il n'en apparaît pas moins nécessaire que la taxation de l'exercice fiscal 2016 ne puisse pas suivre son cours pour les personnes concernées, sous peine de voir certaines taxations devenir définitives alors qu'elles seraient, en cas d'admission du recours ou même d'admission partielle de celui-ci sur la seule question de la rétroactivité, fondées sur une base légale invalide.![endif]&gt;![if&gt;</w:t>
      </w:r>
    </w:p>
    <w:p>
      <w:r>
        <w:rPr>
          <w:b/>
        </w:rPr>
        <w:t>E. 10</w:t>
      </w:r>
    </w:p>
    <w:p>
      <w:r>
        <w:t>L'intimé invoque que l'octroi de l'effet suspensif au recours entraînerait un blocage total de la taxation. Cet avis ne saurait être partagé, dès lors que la chambre de céans devrait pouvoir rendre son arrêt au fond d'ici la fin juin 2017, et que, selon le département des finances, la question de la déduction effective des frais de déplacement ne concerne qu'environ 38'000 contribuables domiciliés à Genève (et tenus en principe de remettre leur déclaration fiscale avant le 31 mars 2017) sur 254'000, et environ 7'171 contribuables non domiciliés à Genève (et tenus de remettre leur déclaration fiscale sur la question des frais de déplacement en principe avant le 30 juin 2017) sur 16'000. Il semble donc parfaitement possible de mettre de côté les 38'000 et quelques déclarations concernées et de ne les traiter qu'une fois l'arrêt de la chambre de céans rendu, sans perturber par trop le processus de taxation.![endif]&gt;![if&gt; S'agissant de la période qui concernerait un éventuel recours au Tribunal fédéral, il sera rappelé que l'effet suspensif au sens de l'art. 66 LPA n'a plus cours dès la notification de l'arrêt de la juridiction cantonale ; passé ce moment, il appartient à la partie concernée de demander l'octroi de l'effet suspensif au juge instructeur fédéral (art. 103 al. 1 et 3 de la loi fédérale sur le Tribunal fédéral du 17 juin 2005 - LTF - RS 173.110).</w:t>
      </w:r>
    </w:p>
    <w:p>
      <w:r>
        <w:rPr>
          <w:b/>
        </w:rPr>
        <w:t>E. 11</w:t>
      </w:r>
    </w:p>
    <w:p>
      <w:r>
        <w:t>Au vu de ce qui précède, il y a lieu de déroger au principe de l'absence d'effet suspensif. La demande d'octroi de ce dernier sera admise, le sort des frais de la procédure étant réservé jusqu’à droit jugé au fond.![endif]&gt;![if&gt; LA CHAMBRE CONSTITUTIONNELLE octroie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au Grand Conseil ainsi qu'au Conseil d'État, pour information.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