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A/391/2023 vom 13. Februar 2025</w:t>
      </w:r>
    </w:p>
    <w:p>
      <w:r>
        <w:t>GE Cour de justice, 2025-02-13, FR</w:t>
      </w:r>
    </w:p>
    <w:p>
      <w:r>
        <w:rPr>
          <w:b/>
        </w:rPr>
        <w:t xml:space="preserve">Quelle: </w:t>
      </w:r>
      <w:r>
        <w:t>https://mcp.opencaselaw.ch/entscheid/ge_gerichte_A_391_2023</w:t>
      </w:r>
    </w:p>
    <w:p>
      <w:r>
        <w:t>FR: GE_GERICHTE A/391/2023 du 13 février 2025</w:t>
      </w:r>
    </w:p>
    <w:p>
      <w:r>
        <w:t>IT: GE_GERICHTE A/391/2023 del 13 febbraio 2025</w:t>
      </w:r>
    </w:p>
    <w:p>
      <w:pPr>
        <w:pStyle w:val="Heading2"/>
      </w:pPr>
      <w:r>
        <w:t>Regeste</w:t>
      </w:r>
    </w:p>
    <w:p>
      <w:r>
        <w:t>ZONE AGRICOLE;REMISE EN L'ÉTAT;OBJET DU LITIGE;PRINCIPE DE LA BONNE FOI;PROPORTIONNALITÉ | LAT.22; LCI.1; RCI.1; LCI.129; LCI.130; Cst.5.al2; Cst.9</w:t>
      </w:r>
    </w:p>
    <w:p>
      <w:pPr>
        <w:pStyle w:val="Heading2"/>
      </w:pPr>
      <w:r>
        <w:t>Erwägungen</w:t>
      </w:r>
    </w:p>
    <w:p>
      <w:r>
        <w:rPr>
          <w:b/>
        </w:rPr>
        <w:t>E. 2</w:t>
      </w:r>
    </w:p>
    <w:p>
      <w:r>
        <w:t>(arrêt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 18.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 qu'elle ait agi ou soit censée avoir agi dans les limites de ses compétences ; que l'administré n'ait pas pu se rendre compte immédiatement de l'inexactitude du renseignement obtenu ; qu’il se soit fondé sur les assurances ou le comportement dont il se prévaut pour prendre des dispositions auxquelles il ne saurait renoncer sans subir de préjudice ;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4ème éd., 2021, p. 645 n. 1297 ss ; Thierry TANQUEREL, Manuel de droit administratif, 2ème éd., 2018, p. 206 n. 578).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1C_50/2020 du 8 octobre 2020 consid. 8.1.2). 19. 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20. En l’espèce, c’est à bon droit que le DT a adressé la décision querellée à la recourante, ce qui n’est pas contesté. En effet, en tant que locataire de la partie de la parcelle où se situent les objets litigieux qu’elle entrepose, la recourante est perturbatrice par situation et par comportement. En outre, les objets visés par l’ordre de remise en état n’ont pas été autorisés, alors qu’ils sont soumis à autorisation de construire, tel que cela ressort des considérants qui précèdent. Par ailleurs, il ne peut être reproché au DT d’avoir adopté une attitude propre à tromper la recourante ni à lui laisser penser qu’il tolérait les objets litigieux. Le fait qu’il ait attendu deux ans après la remise des déterminations du 14 octobre 2020 pour prononcer la décision querellée ne signifie pas, à teneur de la jurisprudence susmentionnée, qu’il les ait tolérés d’une façon qui serait constitutive d’une autorisation tacite ou d’une renonciation à faire respecter les dispositions transgressées. La recourante a d’ailleurs bénéficié de facto de la suspension de la procédure dirigée à son encontre durant les discussions entreprises par les parties pour tenter de trouver une solution. Cela étant, le DT n’a donné aucune assurance ou indication à la recourante quant à l’issue de ces discussions et cette dernière n’a pris, sur la base du comportement de l’autorité intimée, aucune disposition concrète à laquelle elle ne pourrait renoncer sans subir de préjudice. Dans ces conditions, le grief de violation du principe de la bonne foi doit être écarté. En outre, l’intérêt privé de la recourante au maintien des objets litigieux non autorisés, qu’elle considère indispensable à la poursuite de son activité, est certes important. Il doit néanmoins céder le pas sur l’un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au respect des règles de droit public des constructions. L’intérêt à préserver ladite zone doit ainsi primer sur l’intérêt purement économique de la recourante. De plus, cette dernière ne saurait se prévaloir d’une situation créée sans autorisation pour s’opposer à la remise en état, étant rappelé, qu’en mettant le département devant le fait accompli, elle devait s’attendre à ce que ce dernier se préoccupe davantage de rétablir une situation conforme au droit que d’éviter les inconvénients qui en découlent pour elle (ATF 123 II 248 consid. 4a ; arrêt du Tribunal fédéral 1C_33/2014 du 18 septembre 2014 consid. 4.1 et les références citées ; ATA/543/2022 du 24 mai 2022 consid. 4c ; Nicolas WISARD/Samuel BRÜCKNER/Milena PIREK, Les constructions « illicites », in Jean-Baptiste ZUFFEREY [éd.], Journées suisses du droit de la construction 2019, p. 218)). Au surplus, le fait que les paysagistes ne disposeraient pas de terrain pour exercer leur activité ne saurait justifier une violation de la législation en vigueur. Enfin, il n’existe aucune mesure moins incisive que la remise en état pour rétablir une situation conforme au droit et à l’intérêt public au respect de la zone agricole, dans laquelle il convient de se montrer strict. Il s’agit d’une mesure adéquate et apte à atteindre le but visé, étant rappelé que l’absence de vocation agricole de la parcelle et sa proximité avec la zone villa ne sont pas déterminantes, conformément à la jurisprudence. Au surplus, la suppression des dépôts qui subsistent encore n'est pas une tâche particulièrement compliquée, comme la recourante l’indique elle-même, ni coûteuse. Il s'ensuit que le principe de la proportionnalité n'a manifestement pas été violé (cf. ATF 123 II 248 consid. 4 p. 255; 111 Ib 213 consid. 6b p. 224). 21.         Au vu de ce qui précède, le recours, mal fondé, sera rejeté. 22.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CHF 900.-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