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A/3902/2017 vom 14. Dezember 2017</w:t>
      </w:r>
    </w:p>
    <w:p>
      <w:r>
        <w:t>GE Cour de justice, 2017-12-14, FR</w:t>
      </w:r>
    </w:p>
    <w:p>
      <w:r>
        <w:rPr>
          <w:b/>
        </w:rPr>
        <w:t xml:space="preserve">Quelle: </w:t>
      </w:r>
      <w:r>
        <w:t>https://mcp.opencaselaw.ch/entscheid/ge_gerichte_A_3902_2017</w:t>
      </w:r>
    </w:p>
    <w:p>
      <w:r>
        <w:t>FR: GE_GERICHTE A/3902/2017 du 14 décembre 2017</w:t>
      </w:r>
    </w:p>
    <w:p>
      <w:r>
        <w:t>IT: GE_GERICHTE A/3902/2017 del 14 dicembre 2017</w:t>
      </w:r>
    </w:p>
    <w:p>
      <w:pPr>
        <w:pStyle w:val="Heading2"/>
      </w:pPr>
      <w:r>
        <w:t>Regeste</w:t>
      </w:r>
    </w:p>
    <w:p>
      <w:r>
        <w:t>RETINJ</w:t>
      </w:r>
    </w:p>
    <w:p>
      <w:pPr>
        <w:pStyle w:val="Heading2"/>
      </w:pPr>
      <w:r>
        <w:t>Erwägungen</w:t>
      </w:r>
    </w:p>
    <w:p>
      <w:r>
        <w:rPr>
          <w:b/>
        </w:rPr>
        <w:t>E. 9</w:t>
      </w:r>
    </w:p>
    <w:p>
      <w:r>
        <w:t>al. 1 et 2 LaLP); Qu’elle est dès lors recevable à la forme; Considérant qu'aux termes des art. 69 al. 1 et 71 LP, dès réception de la réquisition de poursuite, c'est-à-dire « aussi vite que possible », l’Office rédige le commandement de payer correspondant et le notifie au débiteur; Qu'en l'espèce, la réquisition de poursuite visée a été reçue par l’Office le 3 avril 2017 et que son traitement a été entrepris dès le 29 mai 2017; Que toutefois, le commandement de payer, poursuite n° 17 xxxx43 S, n’a pu être notifié à la débitrice dans ses locaux, malgré plusieurs passages de la Poste ainsi que du service de notification externe de l’Office, entre juin et septembre 2017; Qu’en définitive, l’Office a convoqué l’organe responsable de ladite débitrice et a pu notifier l’acte de poursuite en question à ses guichets, le 26 septembre 2017, ce commandement de payer ayant été retourné à la créancière plaignante le 2 octobre 2017, muni d’une opposition de la débitrice; Qu’au vu des principes rappelés ci-dessus, il apparaît que cette situation n’est pas constitutive d’un retard injustifié de l’Office, ce qui sera constaté; Qu’en effet, ledit Office a fait diligence dans le traitement de la réquisition de poursuite qu’il a reçue de la créancière poursuivante et il n’est pas responsable des difficultés de notification de cet acte à la débitrice poursuivie, laquelle n’était pas présente dans ses locaux se trouvant à l’adresse indiquée par la créancière poursuivante dans la réquisition en cause; Qu’en outre, la présente plainte sera déclarée sans objet et rayée du rôle de la Chambre de surveillance, dès lors que ladite créancière s’est vue retourner le commandement de payer réclamé, muni d’une opposition, le 2 octobre 2017; Qu’en application de l’art. 62 al. 2 OELP, il n’est alloué aucun frais ni dépens dans la procédure de plainte au sens de l'art. 17 LP. * * * * * PAR CES MOTIFS, La Chambre de surveillance : A la forme : Déclare recevable la plainte formée le 22 septembre 2017 par A______ SA pour retard injustifié de l’Office des poursuites dans le traitement de sa réquisition de poursuite qu’il a reçue le 3 mai 2017 à l’encontre de C______ SA. Au fond : Constate que l’Office des poursuites n’a pas fait preuve d’un retard injustifié dans le traitement de cette réquisition de poursuite. Constate en outre que la présente plainte est devenue sans objet en cours de procédure. Par conséquent, raye du rôle la cause A/3902/2017. Siégeant : Madame Valérie LAEMMEL-JUILLARD, présidente; Messieurs Michel BERTSCHY et Claude MARCET,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