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A/38/2014 vom 8. September 2015</w:t>
      </w:r>
    </w:p>
    <w:p>
      <w:r>
        <w:t>GE Cour de justice, 2015-09-08, FR</w:t>
      </w:r>
    </w:p>
    <w:p>
      <w:r>
        <w:rPr>
          <w:b/>
        </w:rPr>
        <w:t xml:space="preserve">Quelle: </w:t>
      </w:r>
      <w:r>
        <w:t>https://mcp.opencaselaw.ch/entscheid/ge_gerichte_A_38_2014</w:t>
      </w:r>
    </w:p>
    <w:p>
      <w:r>
        <w:t>FR: GE_GERICHTE A/38/2014 du 8 septembre 2015</w:t>
      </w:r>
    </w:p>
    <w:p>
      <w:r>
        <w:t>IT: GE_GERICHTE A/38/2014 del 8 settembre 2015</w:t>
      </w:r>
    </w:p>
    <w:p>
      <w:pPr>
        <w:pStyle w:val="Heading2"/>
      </w:pPr>
      <w:r>
        <w:t>Regeste</w:t>
      </w:r>
    </w:p>
    <w:p>
      <w:r>
        <w:t>DROIT DE LA FONCTION PUBLIQUE ; ÉTABLISSEMENT DE DROIT PUBLIC ; RÉSILIATION ; MOTIF ; FONCTIONNAIRE ; COMPÉTENCE ; DÉLÉGATION DE COMPÉTENCE ; POUVOIR D'APPRÉCIATION ; DROIT D'ÊTRE ENTENDU ; PROTECTION DE LA PERSONNALITÉ ; DÉPLACEMENT(FONCTION) | Rejet du recours d'une fonctionnaire contre la résiliation de ses rapports de service. La fonctionnaire, qui rencontrait d'importants problèmes relationnels, avait fait l'objet d'un reclassement comme alternative au licenciement un an auparavant. Ce reclassement a échoué, les problèmes relationnels persistant avec ses collègues et des tiers. La poursuite des rapports de service n'était plus compatible avec le bon fonctionnement de l'institution, de sorte que l'autorité intimée n'a pas abusé de son pouvoir d'appréciation en licenciant la recourante. | LPAC.1.al1.lete; LPAC.2.al1; LPAC.2.al4; LPAC.2A; LPAC.2B; LPAC.5; LPAC.17; LPAC.21.al3; LPAC.22; LEPM.1.leta; LEPM.5.al1; LEPM.6.al1; LEPM.7; LEPM.8; Cst.29.al2; Cst.36.al2; SPHUG.46.al3; SPHUG.48; SPHUG.48A</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Saisie d'un recours, la chambre administrative applique le droit d'office. Elle ne peut pas aller au-delà des conclusions des parties, mais n'est liée ni par les motifs invoqués par celles-ci (art. 69 al. 1 LPA), ni par leur argumentation juridique ( ATA/402/2012 du 26 juin 2012).</w:t>
      </w:r>
    </w:p>
    <w:p>
      <w:r>
        <w:rPr>
          <w:b/>
        </w:rPr>
        <w:t>E. 3</w:t>
      </w:r>
    </w:p>
    <w:p>
      <w:r>
        <w:t>Le litige porte sur la conformité au droit de la décision de licenciement de la recourante.</w:t>
      </w:r>
    </w:p>
    <w:p>
      <w:r>
        <w:rPr>
          <w:b/>
        </w:rPr>
        <w:t>E. 4</w:t>
      </w:r>
    </w:p>
    <w:p>
      <w:r>
        <w:t>En tant que membre du personnel des HUG, la recourante est soumise à la loi générale relative au personnel de l’administration cantonale et des établissements publics médicaux du 4 décembre 1997 (LPAC - B 5 05), à son règlement d’application du 24 février 1999 (RPAC - B 5 05.01), à la loi sur les établissements publics médicaux du 19 septembre 1980 (LEPM - K 2 05), au statut du personnel des HUG (art. 1 al. 1 let. e LPAC et 7 al. 2 let. k LEPM), ainsi qu’à la loi concernant le traitement et les diverses prestations alloués aux membres du personnel de l’État, du pouvoir judiciaire et des établissements hospitaliers du 21 décembre 1973 (LTrait - B 5 15).</w:t>
      </w:r>
    </w:p>
    <w:p>
      <w:r>
        <w:rPr>
          <w:b/>
        </w:rPr>
        <w:t>E. 5</w:t>
      </w:r>
    </w:p>
    <w:p>
      <w:r>
        <w:t>a. Les établissements publics médicaux (ci-après : les établissements) comprennent notamment les HUG (art. 1 let. a LEPM). Les établissements mentionnés à l’art. 1 sont des établissements de droit public dotés de la personnalité juridique (art. 5 al. 1 LEPM). b. L’établissement est géré par un conseil d’administration dont la composition est fixée par la LEPM (art. 6 al. 1 LEPM). Conformément à l’art. 2 al. 4 LPAC, les membres du personnel de chaque établissement public médical relèvent de l'autorité du conseil d'administration. Le conseil d’administration est le pouvoir supérieur de l’établissement (art. 7 al. 1). Sous réserve des compétences du Grand Conseil et du Conseil d’État, le conseil d’administration est investi des pouvoirs les plus étendus pour la gestion de l’établissement. Il a notamment comme attribution de nommer et révoquer les fonctionnaires de l’établissement (art. 7 al. 2 let. l LEPM). Le conseil d'administration est également l'autorité compétente pour prononcer la fin des rapports de service (art. 17 al. 1 LPAC). Il peut déléguer cette compétence à la direction générale de l’établissement (art. 17 al. 2 LPAC). Les directions des établissements (hôpitaux et cliniques) exécutent les décisions des conseils d’administration. Elles reçoivent leurs instructions du président du conseil d’administration (art. 8 al. 1 LEPM). Un règlement interne établit les compétences des directions (al. 2). c. Dans l’ ATA/312/2015 du 31 mars 2015, la chambre administrative a constaté la nullité de la révocation d’un fonctionnaire des HUG, qui avait été prononcée par le bureau du conseil d’administration (consid. 9 à 13). En effet, aucune délégation n’était autorisée par les dispositions légales applicables en cas de révocation d’un fonctionnaire. La chambre de céans a précisé qu’il en allait autrement en cas de résiliation des rapports de service, l’art. 17 LPAC l’autorisant. d. En l’espèce, la recourante, qui a le statut de fonctionnaire (art. 5 LPAC), a fait l’objet d’une résiliation de ses rapports de service, et non d’une sanction disciplinaire. Conformément aux dispositions légales susmentionnées, la délégation de cette décision au bureau du conseil d’administration est autorisée. Par conséquent, la décision contestée émane de l’autorité compétente.</w:t>
      </w:r>
    </w:p>
    <w:p>
      <w:r>
        <w:rPr>
          <w:b/>
        </w:rPr>
        <w:t>E. 6</w:t>
      </w:r>
    </w:p>
    <w:p>
      <w:r>
        <w:t>La recourante invoque une violation de son droit d’être entendu, au motif que les HUG n’auraient pas précisé sur la convocation à l’entretien de service du 3 septembre 2013 les reproches concrets relatifs à ses manquements aux devoirs du personnel. a. Le droit d’être entendu comprend notamment le droit pour les parties de faire valoir leur point de vue avant qu’une décision ne soit prise, de prendre connaissance du dossier,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 c. Selon l’art. 46 al. 3 et 4 du statut, la convocation à un entretien de service doit parvenir au membre du personnel 14 jours avant l'entretien (al. 3). Elle précise la nature, le motif de l’entretien et les personnes présentes pour l'employeur, et rappelle le droit de se faire accompagner (al. 4). d. En l’espèce, Mme A______ savait, depuis qu’elle avait reçu le compte-rendu de l’EEDC du 26 juin 2013, que les manquements constatés feraient l’objet d’un entretien de service. Par ailleurs, la convocation a été envoyée le 9 août 2013, soit presque un mois avant ledit entretien. Enfin, cette convocation mentionnait tant les personnes présentes que le sujet de l’entretien, précisant qu’il porterait sur le contenu de son évaluation du 26 juin 2013. Cette évaluation a été globalement qualifiée d’inacceptable par sa hiérarchie. En effet, sept des objectifs fixés lors de la dernière évaluation n’avaient pas été atteints, et sur neuf critères d’évaluation, seul un avait été considéré par sa hiérarchie comme en ordre pour la fonction, trois étant « à améliorer », et cinq étant insuffisants. Mme A______, qui avait été rétrogradée un an auparavant en lieu et place d’un licenciement, ne pouvait ignorer qu’une mauvaise évaluation mettrait en péril son avenir aux HUG. Par ailleurs, Mme H______, qui l’avait accompagnée à cet EEDC, a indiqué lors des enquêtes qu’à la fin de cet entretien, elle ne se faisait plus beaucoup d’illusions sur l’évolution de la relation de travail, une décision de licenciement lui semblant proche. e. Les HUG n’ont dès lors pas violé le droit d’être entendu de la recourante dans le cadre de la procédure ayant mené à la décision de licenciement. Ce grief sera écarté.</w:t>
      </w:r>
    </w:p>
    <w:p>
      <w:r>
        <w:rPr>
          <w:b/>
        </w:rPr>
        <w:t>E. 7</w:t>
      </w:r>
    </w:p>
    <w:p>
      <w:r>
        <w:t>La recourante fait ensuite valoir que les HUG auraient violé diverses règles de procédure. Ils auraient violé l’art. 46 LPAC (recte : 48 du statut) en ne procédant à aucune évaluation dans son nouveau poste de responsable CAF pendant quatre ans, en confondant l’entretien d’évaluation et l’entretien de service (se servant du premier comme d’une arme pour la dégrader et la licencier à la place d’évaluer et développer ses compétences ou de lui fixer des objectifs pour la suite de sa carrière), et en ignorant le recours auprès de l’autorité hiérarchique supérieure prévu par l’art. 46 al. 5 RPAC (recte : 48 al. 5 du statut), commettant ainsi un déni de justice. a. S’il est préférable que des entretiens d’évaluation aient lieu tous les deux ans, comme le prévoit l’art. 48 al. 1 du statut, cette fréquence ne constitue pas une obligation de l’employeur dont le non-respect aboutirait à l’invalidation du licenciement. L’on relèvera en particulier que Mme A______ n’a, à aucun moment, sollicité d’évaluation intermédiaire entre 2008 et 2012, notamment dans son courriel du 16 juillet 2010, adressé à sa hiérarchie et faisant un point de situation sur l’unité qu’elle gérait au département. b. Selon l’art. 48 al. 2 du statut, les entretiens d’évaluation portent sur les tâches dévolues au membre du personnel et sur leur réalisation en rapport avec les objectifs de service, ainsi que sur les besoins et les moyens à disposition. L’al. 4 de cette disposition prévoit qu’un protocole d’entretien est signé par les deux parties, et que les divergences éventuelles peuvent y figurer ou faire l’objet d’une note rédigée par l’intéressé. En l’espèce, l’EEDC du 26 juin 2013 a effectivement permis de faire le point sur la réalisation des tâches et des objectifs fixés à la recourante. Contrairement à ce que celle-ci soutient, cet EEDC n’avait pas pour but de la stigmatiser ou de la dégrader. Lors de cet entretien, les parties ont fait le point sur la situation, et ainsi constaté que Mme A______ n’avait pas rempli sept des objectifs qui lui avaient été fixés, et que la majorité des critères d’évaluation étaient insuffisants. Au vu de la rétrogradation dont elle avait fait l’objet une année auparavant, il n’est pas surprenant qu’une telle évaluation n’ait pas abouti à la fixation de nouveaux objectifs, et qu’elle ait été suivie, quelques mois après, par un entretien de service. L’on relèvera enfin que Mme A______ a pu être accompagnée lors de cet EEDC, et qu’elle a pu faire part de ses divergences par le biais d’une note écrite adressée à sa hiérarchie le 12 juillet 2013, conformément à l’art. 48 al. 4 du statut. c. En vertu de l’art. 48 al. 5 du statut, un recours auprès de l'autorité hiérarchique supérieure est ouvert. Le membre du personnel peut se faire accompagner d'une personne de son choix. En l’espèce, le recours adressé par Mme A______ au Prof. I______ a été rejeté par ce dernier par courrier du 25 septembre 2013. S’agissant du recours formé à l’encontre de la décision du Prof. I______, il a effectivement été déclaré sans objet par le directeur général des HUG, dans un courrier du 21 novembre 2013 adressé au conseil de la recourante, du fait de l’ouverture d’une procédure de licenciement. Le directeur général s’en est pour le surplus rapporté à la décision de l’autorité inférieure. Il n’y a dès lors pas eu de déni de justice. Au vu de ce qui précède, tous les griefs d’ordre formel invoqués par la recourante seront rejetés.</w:t>
      </w:r>
    </w:p>
    <w:p>
      <w:r>
        <w:rPr>
          <w:b/>
        </w:rPr>
        <w:t>E. 8</w:t>
      </w:r>
    </w:p>
    <w:p>
      <w:r>
        <w:t>La recourante prétend par ailleurs avoir été victime de mobbing de la part de Mme D______. Elle soutient notamment que son ancien employeur aurait créé une configuration du service favorisant fortement le mobbing, et que suite à la plainte qu’elle avait formée, il n’aurait pris aucune mesure pour protéger sa personnalité. Dans ses conclusions après enquêtes, elle fait valoir que son licenciement, survenu parce qu’elle avait mis l’accent sur l’incompétence des ressources humaines et de sa hiérarchie dans sa plainte pour mobbing, serait abusif. Selon l’art. 2A let. a ab initio LPAC, les établissements publics médicaux doivent créer les conditions qui permettent aux collaboratrices et aux collaborateurs de travailler dans un climat de respect et de tolérance. En vertu de l’art. 2B LPAC,  il est veillé à la protection de la personnalité des membres du personnel, notamment en matière de harcèlement psychologique et de harcèlement sexuel (al. 1). Des mesures sont prises pour prévenir, constater et faire cesser toute atteinte à la personnalité (al. 2).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II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du 26 avril 2007 consid. 4.3 et 2P.207/2002 du 20 juin 2003 consid. 4.2 ; ATA/292/2009 du 16 juin 2009 consid. 7). En l’espèce, suite à sa plainte du 1 er mai 2013 adressée au directeur des ressources humaines, Mme A______ et son conseil ont été reçues par M. F______, Mme G______ et Mme B______ le 4 juin 2013. Le dossier ne contient aucun procès-verbal de cet entretien, et les parties divergent sur son contenu. Aucune enquête n’a été ouverte suite à cet entretien. Selon Mme B______, il avait été décidé de mieux cerner et resserrer les tâches de Mme A______ afin qu’elle puisse les réaliser en limitant les interactions, en particulier avec Mme D______. Les allégués de Mme A______ quant à l’existence de mobbing à son égard ne sont pas démontrés. Il est exact que l’ambiance au département était parfois tendue et que des clans s’étaient formés. Toutefois, seuls deux des dix-neuf témoins entendus, à savoir Mmes R______ et T______, ont indiqué que Mme D______ avait pu avoir des propos inadéquats vis-à-vis de Mme A______. Les autres témoins ont surtout soutenu qu’il y avait des tensions générales entre ces deux personnes. Au vu de l’ensemble des enquêtes, la chambre administrative a acquis la conviction que la mésentente entre Mesdames A______ et D______ était réciproque, et que l’on ne peut attribuer à Mme D______ une faute prépondérante qui aurait pu être constitutive de harcèlement. Ainsi, l’on ne peut retenir que Mme A______ aurait été victime de harcèlement psychologique au sens de la jurisprudence susmentionnée. Ce grief sera également écarté.</w:t>
      </w:r>
    </w:p>
    <w:p>
      <w:r>
        <w:rPr>
          <w:b/>
        </w:rPr>
        <w:t>E. 9</w:t>
      </w:r>
    </w:p>
    <w:p>
      <w:r>
        <w:t>La recourante estime enfin que la résiliation des rapports de service ne reposerait pas sur des motifs fondés. a. Dans ce domaine, le pouvoir d’examen de la chambre administrative se limite à la violation du droit, y compris l'excès et l'abus du pouvoir d'appréciation la décision attaquée ne pouvant être revue sous l’angle de son opportunité (art. 61 LPA). b. L'autorité compétente peut résilier les rapports de service du fonctionnaire pour un motif fondé (art. 21 al. 3 ab initio LPAC). Aux termes de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 ATA/635/2014 du 19 août 2014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ATA/635/2014 précité ; MGC 2005-2006/XI A 10420). d.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 Lorsque les éléments constitutifs d'un motif fondé de résiliation sont dûment établis lors d'entretiens de service, un reclassement selon l’art. 21 al. 3 LPAC est proposé pour autant qu’un poste soit disponible au sein des établissements publics médicaux et que l’intéressé au bénéfice d'une nomination dispose des capacités nécessaires pour l’occuper (art. 48A al. 1 du statut). Des mesures de développement et de réinsertion professionnels propres à favoriser le reclassement sont proposées (art. 48A al. 2 du statut). L’intéressé est tenu de collaborer et peut faire des suggestions (art. 48A al. 3 du statut). Il bénéficie d’un délai de dix jours ouvrables pour accepter ou refuser la proposition de reclassement (art. 48A al. 4 du statut). En cas de reclassement, un délai de six mois est fixé pour permettre à l’intéressé d’assumer sa nouvelle fonction (art. 48A al. 5 du statut). En cas de refus, d’échec ou d'absence du reclassement, une décision motivée de résiliation des rapports de service pour motif fondé intervient (art. 48A al. 6 du statut).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ATA/806/2012 du 27 novembre 2012 ; ATA/223/2010 du 30 mars 2010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(MGC 2005-2006/XI A 10420). e.              En l’espèce, l’autorité intimée a retenu que les insuffisances évoquées lors de l’entretien de service du 3 septembre 2013, tant sur le plan professionnel que du comportement, ne permettaient pas d’envisager une poursuite de la collaboration. Contrairement à ce que soutient la recourante, ses problèmes relationnels ne datent pas du passé. Tous ses supérieurs hiérarchiques ont attesté de ses importantes difficultés relationnelles, qui ont persisté après le changement de poste, impliquant pourtant moins d’interactions avec les autres employés. Si certains de ses anciens collègues entendus lors des enquêtes ont indiqué que leur relation avec Mme A______ se passait bien et qu’elle était toujours disponible pour répondre à leurs questions techniques, il n’en demeure pas moins que Mme A______ avait d’importants problèmes d’attitude, employant souvent un ton cassant et des propos déplacés et dénigrant certains collègues, notamment en ne les reconnaissant pas dans leurs compétences et en contrôlant excessivement leur travail, parfois en leur absence. Ces problèmes ressortaient de toutes ses évaluations, de l’audition de Mme H______, qui l’avait accompagnée lors de son dernier EEDC, et des plaintes quasi hebdomadaires formées par des collègues, qui ont été rapportées par plusieurs membres de sa hiérarchie lors des enquêtes. Par ailleurs, son intervention lors du passage à la maternité d’une victime de viol, empêchant cette dernière de se faire soigner aux HUG, et son absence de remise en question lorsque lui a été donnée la possibilité de s’expliquer par écrit sur cet incident, sont exemplatives d’un manque de tact, de compassion et de professionnalisme qui ne sont pas acceptables. Il ressort enfin des enquêtes et du dossier que Mme A______ n’a pas été en mesure de remplir les objectifs quantitatifs qui lui avaient été fixés dans sa nouvelle fonction, essuyant un important retard dans le traitement de ses dossiers. Ce retard était notamment dû au fait qu’elle perdait trop de temps à contrôler le travail des autres, plutôt qu’à se concentrer sur ses tâches. Dans ces circonstances, la poursuite des rapports de service n’était pas compatible avec le bon fonctionnement des HUG, de sorte que l’autorité intimée n’a pas abusé de son pouvoir d’appréciation en licenciant la recourante. f. La décision de licenciement constituait le dernier recours pour son employeur, Mme A______ ayant déjà fait l’objet d’un reclassement en 2012, lorsqu’il a été constaté qu’elle ne disposait pas des compétences managériales nécessaires au poste de responsable du CAF, et qu’un nouveau poste de référente qualité a été créé pour elle à l’interne comme alternative au licenciement. Ce reclassement ayant malheureusement échoué au vu des problèmes relationnels persistants entre Mme A______ et d’autres employés, le corps médical et même certains patients, les HUG étaient fondés à mettre un terme à ses rapports de service. g. Il n’y a dès lors pas lieu d’entrer en matière sur les prétentions en indemnisation de la recourante.</w:t>
      </w:r>
    </w:p>
    <w:p>
      <w:r>
        <w:rPr>
          <w:b/>
        </w:rPr>
        <w:t>E. 10</w:t>
      </w:r>
    </w:p>
    <w:p>
      <w:r>
        <w:t>En tous points mal fondé, le recours sera rejeté.</w:t>
      </w:r>
    </w:p>
    <w:p>
      <w:r>
        <w:rPr>
          <w:b/>
        </w:rPr>
        <w:t>E. 11</w:t>
      </w:r>
    </w:p>
    <w:p>
      <w:r>
        <w:t>Un émolument de CHF 1’500.- sera mis à charge de la recourante (art. 87 LPA). Vu l’issue du litige, aucune indemnité ne lui sera allouée (art. 87 al. 2 LPA). Les HUG disposant d’un service juridique, il ne leur sera pas alloué d’indemnité de procédure ( ATA/755/2012 du 6 novembre 2012 ; ATA/441/2014 du 17 juin 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