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A/3898/2023 vom 18. Dezember 2024</w:t>
      </w:r>
    </w:p>
    <w:p>
      <w:r>
        <w:t>GE Cour de justice, 2024-12-18, FR</w:t>
      </w:r>
    </w:p>
    <w:p>
      <w:r>
        <w:rPr>
          <w:b/>
        </w:rPr>
        <w:t xml:space="preserve">Quelle: </w:t>
      </w:r>
      <w:r>
        <w:t>https://mcp.opencaselaw.ch/entscheid/ge_gerichte_A_3898_2023</w:t>
      </w:r>
    </w:p>
    <w:p>
      <w:r>
        <w:t>FR: GE_GERICHTE A/3898/2023 du 18 décembre 2024</w:t>
      </w:r>
    </w:p>
    <w:p>
      <w:r>
        <w:t>IT: GE_GERICHTE A/3898/2023 del 18 dicembre 2024</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 e du Code des obligations [CO - RS 220] ; art. 52, 56 a al. 1 et art. 73 de la loi fédérale sur la prévoyance professionnelle, vieillesse, survivants et invalidité du 25 juin 1982 [LPP - RS 831.40] ; ancien art. 142 du Code civil [CC - RS 210]). Selon l’art. 73 al. 3 LPP, le for est au siège ou domicile suisse du défendeur ou au lieu de l'exploitation dans laquelle l'assuré a été engagé. En l’espèce, la défenderesse, constituée sous la forme d’une fondation, a son siège dans le canton de Genève, où la demanderesse travaillait. La demande du 23 novembre 2023 porte sur le versement de la rente réglementaire d'invalidité et de la rente réglementaire d'enfant d'invalide. Par conséquent, la chambre de céans est compétente pour connaître du litige tant ratione loci que ratione materiae .</w:t>
      </w:r>
    </w:p>
    <w:p>
      <w:r>
        <w:rPr>
          <w:b/>
        </w:rPr>
        <w:t>E. 1.2</w:t>
      </w:r>
    </w:p>
    <w:p>
      <w:r>
        <w:t>L’ouverture de l’action prévue à l’art. 73 al. 1 LPP n’est soumise, comme telle, à l’observation d’aucun délai (ATF 117 V 329 consid. 4). La demande respecte en outre la forme prévue à l'art. 89B de la loi sur la procédure administrative du 12 septembre 1985 (LPA - E 5 10). Elle est en conséquence recevable.</w:t>
      </w:r>
    </w:p>
    <w:p>
      <w:r>
        <w:rPr>
          <w:b/>
        </w:rPr>
        <w:t>E. 2</w:t>
      </w:r>
    </w:p>
    <w:p>
      <w:r>
        <w:t>Le litige porte sur le point de savoir si la demanderesse a droit au versement de la rente réglementaire entière d'invalidité et de la rente réglementaire d'enfant d'invalide découlant de la prévoyance professionnelle plus étendue, pour la période comprise entre le 26 novembre 2016 et le 31 juillet 2019.</w:t>
      </w:r>
    </w:p>
    <w:p>
      <w:r>
        <w:rPr>
          <w:b/>
        </w:rPr>
        <w:t>E. 3.1</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w:t>
      </w:r>
    </w:p>
    <w:p>
      <w:r>
        <w:rPr>
          <w:b/>
        </w:rPr>
        <w:t>E. 3.1.1</w:t>
      </w:r>
    </w:p>
    <w:p>
      <w:r>
        <w:t>En matière de prévoyance obligatoire, les conditions d'octroi de prestations d’invalidité sont décrites aux art. 23 ss LPP. Selon l’art. 23 LPP (dans sa teneur en vigueur depuis le 1 er janvier 2005), ont droit à des prestations d’invalidité les personnes qui sont invalides à raison de 40% au moins au sens de l’AI, et qui étaient assurées lorsqu’est survenue l’incapacité de travail dont la cause est à l’origine de l’invalidité (let. a). Selon l'art. 24 al. 1 LPP (dans sa teneur en vigueur du 1 er janvier 2005 au 31 décembre 2021 ici applicable), l’assuré a droit à une rente entière d’invalidité s’il est invalide à raison de 70% au moins au sens de l’AI, à trois quarts de rente s’il est invalide à raison de 60% au moins, à une demi-rente s’il est invalide à raison de 50% au moins et à un quart de rente s’il est invalide à raison de 40% au moins. En vertu de l’art. 26 LPP, les dispositions de la loi fédérale du 19 juin 1959 sur l'assurance-invalidité (LAI - RS 831.20 ; art. 29 LAI) s'appliquent par analogie à la naissance du droit aux prestations d'invalidité (al. 1). D’après l’art. 29 LAI (dans sa teneur en vigueur depuis le 1 er janvier 2008),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 qualité d'assuré doit exister au moment de la survenance de l'incapacité de travail, mais pas nécessairement lors de l'apparition ou de l'aggravation de l'invalidité (ATF 136 V 65 consid. 3.1 ; 123 V 262 consid. 1a).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118 V 35 consid. 5). La survenance du cas de prévoyance invalidité coïncide dès lors du point de vue temporel avec la naissance du droit à des prestations d'invalidité (art. 26 al. 1 LPP ; ATF 134 V 28 consid. 3.4.2 ; 135 V 13 consid. 2.6). Ce droit prend naissance au même moment que le droit à une rente de l'assurance-invalidité pour la prévoyance professionnelle obligatoire (ATF 123 V 269 consid. 2a). Le moment de la survenance de l'incapacité de travail ne peut faire l'objet d'hypothèses ou de déductions purement spéculatives, mais doit être établi au degré de la vraisemblance prépondérante habituel dans le domaine des assurances sociales (arrêt du Tribunal fédéral B.19/06 du 31 mai 2007 consid. 3). Cependant, pour que l'institution de prévoyance reste tenue à prestations après la dissolution des rapports de travail,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123 V 264 consid. 1c ; 120 V 117 consid. 2c/aa). Dans l'arrêt 9C_147/2017 du 20 février 2018, publié aux ATF 144 V 58 , le Tribunal fédéral a précisé que la connexité temporelle entre l'incapacité de travail survenue durant le rapport de prévoyance et l'invalidité ultérieure est interrompue lorsque la personne concernée dispose d'une capacité de travail de plus de 80% dans une activité adaptée pendant plus de trois mois et que celle-ci lui permet de réaliser un revenu excluant le droit à une rente (ATF 134 V 20 consid. 5.3 ; arrêts 9C_465/2018 du 30 janvier 2019 consid. 3.2 ; 9C_98/2013 du 4 juillet 2013 consid. 4.1 in SVR 2014 BVG n° 1 p. 2 et les références). Une capacité de travail de 80% ne suffit pas pour interrompre le lien de connexité temporelle (ATF 144 V 58 consid. 4.5 ; arrêt du Tribunal fédéral 9C_533/2017 du 28 mai 2018 consid. 2.1.2). Les mêmes principes sont applicables en matière de prévoyance plus étendue, à tout le moins en l'absence de dispositions réglementaires ou statutaires contraires (ATF 136 V 65 consid. 3.2 ; arrêts du Tribunal fédéral 9C_155/2014 du 27 mars 2014 consid. 4.3.1 ; 9C_1036/2010 du 12 septembre 2011 consid. 2.1).</w:t>
      </w:r>
    </w:p>
    <w:p>
      <w:r>
        <w:rPr>
          <w:b/>
        </w:rPr>
        <w:t>E. 3.1.2</w:t>
      </w:r>
    </w:p>
    <w:p>
      <w:r>
        <w:t>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126 V 308 consid. 1). Cette force contraignante vaut aussi quand il s'agit de déterminer le moment de la naissance du droit à la rente ; autrement dit, la personne à laquelle l'assurance-invalidité a accordé une rente a également droit à une rente de l'institution de prévoyance, avec effet à la même date (ATF 123 V 271 consid. 2a). Il en va différemment lorsque l'institution adopte une définition qui ne concorde pas avec celle de l'assurance-invalidité, par exemple en cas d'invalidité dite « professionnelle » (c'est-à-dire en cas d'incapacité d'exercer l'activité habituelle).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(arrêt du Tribunal fédéral 9C_866/2018 du 11 juin 2019 consid. 3.2 qui concerne le cas d'une institution de prévoyance dite « enveloppante »).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w:t>
      </w:r>
    </w:p>
    <w:p>
      <w:r>
        <w:rPr>
          <w:b/>
        </w:rPr>
        <w:t>E. 3.2</w:t>
      </w:r>
    </w:p>
    <w:p>
      <w:r>
        <w:t>La défenderesse, comme on le verra plus loin, est une institution de prévoyance de droit privé dite « enveloppante », en ce sens qu'elle alloue à ses affiliés des prestations obligatoires et plus étendues.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138 V 176 consid. 5.3). Dans les faits, une institution de prévoyance « enveloppante » propose, en général, un plan de prestations unique qui inclut les prestations minimales et les améliore, sans opérer de distinctions entre prévoyance obligatoire et prévoyance plus étendue (arrêt du Tribunal fédéral 9C_40/2010 du 6 octobre 2010 consid. 4.4).</w:t>
      </w:r>
    </w:p>
    <w:p>
      <w:r>
        <w:rPr>
          <w:b/>
        </w:rPr>
        <w:t>E. 4.1</w:t>
      </w:r>
    </w:p>
    <w:p>
      <w:r>
        <w:t>Selon le règlement 2006 auquel les parties se réfèrent pour appuyer leur position respective, « [e]st considéré comme invalide un Assuré qui, pour des raisons de santé (accident, maladie, faiblesse due à l'âge ou infirmité), n'est plus en mesure d'exercer sa profession ou une autre activité professionnelle qu'on peut raisonnablement attendre de lui. » (art. 10.1) « Le Conseil de Fondation est compétent pour reconnaître l'invalidité. Il prendra sa décision définitive en ce qui concerne le taux d'invalidité sur la base de la décision de l'AI. Tout paiement fait par la Fondation à l'Assuré antérieurement à la décision définitive sera considéré comme une avance. Tout trop perçu devra être remboursé par l'Assuré. » (art. 10.2) « Si un Assuré devient invalide (art. 10.1), il reçoit une rente d'invalidité. Celle-ci n'est toutefois pas due aussi longtemps que et dans la mesure où le Groupe D______ verse un salaire ou un revenu de substitution, ou que l'assurance-maladie, l'assurance-accident ou une autre assurance qui été financée au moins à 50% par le Groupe D______ paie des indemnités journalières d'au moins 80% du salaire. La rente d'invalidité est versée aussi longtemps que l'invalidité existe, mais au plus tard jusqu’au décès de l'Assuré ou jusqu'à l'âge normal de la retraite. À partir de ce moment-là, les prestations de retraite prennent le relais. » (art. 10.3) « En cas d'invalidité partielle, la rente d'invalidité est payable proportionnellement au degré d'invalidité. Une rente complète est versée si le degré d'invalidité est supérieur aux deux tiers. Aucune rente n'est versée si le degré d'invalidité est inférieur à 25%. » (art. 10.5) Ces dispositions relatives à la notion d'invalidité vont au-delà des exigences légales prévues pour la prévoyance professionnelle obligatoire sous un double aspect. D'une part, le règlement prévoit l'octroi d'une rente déjà à partir d'un degré d'invalidité de 25%. D'autre part, la notion d'invalidité est définie de manière plus large que dans la LAI et la LPP, puisqu'à la différence de l'art. 8 LPGA, elle assimile l'invalidité à l'atteinte à la santé et pas à l'incapacité de gain. Si cette atteinte entraîne une incapacité d'accomplir la profession exercée (invalidité de fonction) ou une autre activité pouvant raisonnablement être exigée (fonction de substitution), alors on parle d'invalidité. Il peut donc arriver qu'un assuré soit mis au bénéfice d'une pension d'invalidité de la prévoyance professionnelle surobligatoire sans remplir les conditions fixées par la LAI. À l'inverse, la notion d'invalidité reconnue par l'assurance-invalidité, plus étroite, se confond nécessairement avec la notion d'invalidité professionnelle, de sorte que l'assuré à qui l'assurance-invalidité a reconnu un droit à une rente (entière ou partielle) remplit par définition les conditions de l'invalidité professionnelle à hauteur de la rente allouée ( cf. arrêt du Tribunal fédéral 9C_644/2014 du 13 juillet 2015 consid. 7.5). Il ressort du texte clair de l'art. 10.2 précité que le Conseil de Fondation est lié, in fine , en matière d'évaluation de l'invalidité, par l'estimation effectuée par l'OAI. Certes, il n'est pas exclu que le Conseil de Fondation alloue une avance durant une période antérieure à la décision de l'assurance-invalidité dans un cas d'espèce. Cela ne préjuge toutefois pas de la naissance du droit effectif à des prestations de la prévoyance professionnelle, une fois que le Conseil de Fondation aura tranché de manière définitive la question de savoir si l'assuré peut prétendre auxdites prestations d'invalidité, en se fondant sur la décision de l'OAI fondée sur une instruction complète du cas. Le droit à la rente de la prévoyance professionnelle est ainsi calqué sur le droit à la rente de l'assurance-invalidité. De cette manière, le Conseil de Fondation n'est pas obligé d'effectuer des investigations approfondies sur le plan médical. Cela répond à une certaine logique, du moment que la notion d'invalidité reconnue par l'assurance-invalidité, plus étroite, se confond nécessairement avec la notion d'invalidité de fonction. En l'occurrence, la demanderesse n'a pas été mise au bénéfice d'une avance par le Conseil de Fondation. Dès lors que la défenderesse - qui au demeurant a participé à la procédure AI puisque le projet de décision du 24 août 2022 (dossier AI p. 419) lui a été notifié (p. 421) conformément à l'art. 73 bis al. 2 let. f du règlement sur l'assurance-invalidité du 17 janvier 1961 (RAI - RS 831.201 ; arrêt du Tribunal fédéral B.27/05 du 26 juillet 2006 consid. 3.3) - a repris à son compte l'évaluation de l'invalidité à laquelle avait procédé l'OAI, pour reconnaître à la demanderesse le droit à des prestations d'invalidité de la prévoyance professionnelle étendue, elle est liée par cette évaluation, sous réserve du caractère d'emblée insoutenable de celle-ci. À cet égard, il ressort du dossier AI que l'OAI a mis en œuvre une expertise psychiatrique, à l'issue de laquelle l'expert a retenu les diagnostics incapacitants de neurasthénie (F48.0) et de dysthymie (F34.1) depuis 2009 (p. 128). La capacité de travail de la demanderesse était nulle dans l'activité habituelle mais de 70% dans une activité adaptée dans un poste solitaire ou en petit groupe, proche de ses capacités de base, un trop grand décalage allant alimenter une dévalorisation narcissique non tolérable, sans pression hiérarchique et dans un milieu bienveillant (p.134). Cette expertise est fondée sur l'anamnèse et les pièces médicales au dossier (p. 119-123), les plaintes de l'assurée (p. 123), un examen clinique (p. 123-125) complété par une évaluation neuropsychologique (pp. 125-128), un entretien téléphonique avec le psychiatre traitant (p. 128), et une appréciation circonstanciée du cas (pp. 130-135). L'expertise psychiatrique répond aux critères jurisprudentiels pour se voir reconnaître force probante (ATF 134 V 231 consid. 5.1), étant souligné que dans l'arrêt de renvoi du 22 juin 2022 ( ATS/571/2022 ) annulant la décision du 26 octobre 2021 (p. 339) qui mettait, sur la base de cette expertise, l'assurée au bénéfice d'un trois quarts de rente d'invalidité dès le 1 er août 2019, la chambre de céans a relevé que la valeur probante de celle-ci n'était pas contestée (consid. 5.2). La chambre de céans constatait également qu'une activité adaptée à l'état de santé de l'assurée serait une activité déployée dans la finance, dans un poste à responsabilités, sans pression hiérarchique. Toutefois, l'augmentation de la productivité au sein des entreprises, la pression sur la rentabilité ou encore les nécessités liées à la maîtrise des coûts salariaux pesaient sur les salariés, qui devaient faire preuve d'engagement et d'efficacité et montrer des facultés d'adaptation importantes de nos jours. Cela était d'autant plus vrai dans un poste à responsabilités dans le domaine de la finance. Or, il apparaissait que l'état de santé de l'assurée l'empêchait de supporter de telles conditions de travail, sa capacité de gain étant conditionnée au fait de pouvoir travailler en évitant le stress professionnel. Dans ce cas particulier, compte tenu des limitations fonctionnelles de l'assurée, l’OAI aurait dû déterminer s'il existait suffisamment d'opportunités réalistes d'activités adaptées à celles-ci sur le marché du travail et si l'assurée était ainsi concrètement encore en mesure d’exploiter une capacité de travail résiduelle sur le plan économique. En conséquence de quoi, la cause a été renvoyée à l'OAI afin qu’il détermine les activités concrètement envisageables pour l'assurée au vu des limitations fonctionnelles retenues (consid. 5.2). Sur ce, l'OAI a mandaté le service de réadaptation pour la mise en œuvre de ce complément d'instruction (p. 408). Dans une note du 9 août 2022 (p. 414), ledit service a relevé notamment que selon l'expert psychiatre, il n'existait pas d'évolution possible à moyen terme, les symptômes thymiques et de neurasthénie étant essentiellement séquellaires et présents au long cours. Compte tenu des limitations fonctionnelles retenues, des caractéristiques auxquelles l’activité adaptée devait répondre et de l’absence de perspectives d’amélioration à moyen terme de la capacité de travail, ce service a conclu que des mesures [de réadaptation] n'étaient pas indiquées et que la perte de gain était totale. Sur cette base, par décision du 16 décembre 2022 (pp. 470 et 483), l'OAI a accordé à l'assurée une rente entière d'invalidité à compter du 1 er août 2019, en raison du dépôt tardif de la demande de prestations le 26 février 2019 (art. 29 al. 1 LAI). Aussi l'évaluation de l'invalidité effectuée par l'OAI en décembre 2022 n'apparaît-elle pas d'emblée insoutenable, de sorte que la défenderesse est liée par cette décision quant à la fixation du degré d'invalidité. La lettre de recommandation du 24 novembre 2015 (p. 53), dans laquelle B______, co-fondateur de C______ indique notamment avoir eu du plaisir à travailler avec la demanderesse dans le cadre d'une activité bénévole (« I had the pleasure of working with A______ as part of our volunteer commitment (…) » n'a aucune conséquence pour l'issue du litige. En effet, ce document, qui figurait déjà au dossier AI lors du prononcé de la décision du 16 décembre 2022, ne constitue pas un moyen de preuve nouveau susceptible de mener à une appréciation juridique différente qui obligerait l'OAI à revenir sur cette décision entrée en force. Autrement dit, ce document ne permet pas de s'écarter des conclusions de l'expert (et de l'OAI) sur le plan médical, et ne suffit pas pour interrompre le lien de connexité temporelle. Il n'a par ailleurs jamais été contesté que la demanderesse était assurée auprès de la défenderesse au moment de la survenance de l'incapacité de travail (en 2009) dont la cause est à l'origine de l'invalidité. Enfin, le règlement applicable étant muet concernant le début du droit, c'est à juste titre que la défenderesse, en se référant à l'art. 29 al. 1 LAI en lien avec l'art. 26 al. 1 LPP, a fixé la naissance du droit à la rente de la prévoyance professionnelle étendue au 1 er août 2019, au même moment que le droit à la rente de l'assurance-invalidité (ATF 140 V 470 consid. 3.4 ; Marc HÜRZELER, in SCHNEIDER, GEISER, GÄCHTER [éd.], LPP et LFLP, 2020, n° 4 ad art. 26 LPP). Le droit à la rente d'enfant d'invalide est également né le 1 er août 2019, conformément à l'art. 11.2 1 re phrase dudit règlement qui stipule que « [l]e droit à la rente d'enfant d'invalide prend naissance au moment du paiement de la rente d'invalidité. »</w:t>
      </w:r>
    </w:p>
    <w:p>
      <w:r>
        <w:rPr>
          <w:b/>
        </w:rPr>
        <w:t>E. 4.2</w:t>
      </w:r>
    </w:p>
    <w:p>
      <w:r>
        <w:t>Au vu de ce qui précède, il n'est pas nécessaire d'instruire davantage le dossier.</w:t>
      </w:r>
    </w:p>
    <w:p>
      <w:r>
        <w:rPr>
          <w:b/>
        </w:rPr>
        <w:t>E. 5</w:t>
      </w:r>
    </w:p>
    <w:p>
      <w:r>
        <w:t>Par conséquent, la demande ne peut qu'être rejetée. Les caisses de pension n’ont en principe pas droit à des dépens, sauf en cas de recours téméraire ou interjeté à la légère par l’assuré ; cela vaut également pour les actions en matière de prévoyance professionnelle (ATF 126 V 143 consid. 4). Ces exceptions n'étant pas réalisées en l'espèce, la défenderesse, qui obtient gain de cause, ne saurait se voir allouer, comme elle le sollicite, une indemnité à titre de dépens. Pour le surplus, la procédure est gratuite (art. 73 al. 2 LPP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