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A/3898/2017 vom 11. Januar 2018</w:t>
      </w:r>
    </w:p>
    <w:p>
      <w:r>
        <w:t>GE Cour de justice, 2018-01-11, FR</w:t>
      </w:r>
    </w:p>
    <w:p>
      <w:r>
        <w:rPr>
          <w:b/>
        </w:rPr>
        <w:t xml:space="preserve">Quelle: </w:t>
      </w:r>
      <w:r>
        <w:t>https://mcp.opencaselaw.ch/entscheid/ge_gerichte_A_3898_2017</w:t>
      </w:r>
    </w:p>
    <w:p>
      <w:r>
        <w:t>FR: GE_GERICHTE A/3898/2017 du 11 janvier 2018</w:t>
      </w:r>
    </w:p>
    <w:p>
      <w:r>
        <w:t>IT: GE_GERICHTE A/3898/2017 del 11 gennaio 2018</w:t>
      </w:r>
    </w:p>
    <w:p>
      <w:pPr>
        <w:pStyle w:val="Heading2"/>
      </w:pPr>
      <w:r>
        <w:t>Regeste</w:t>
      </w:r>
    </w:p>
    <w:p>
      <w:r>
        <w:t>Frais de poursuite Contestation de facture | LP.68</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telle une facture relative à des actes de poursuites. La plainte, déposée dans les dix jours dès réception de la décision querellée (art. 17 al. 2 LP), répond aux exigences de forme (art. 9 al. 1 et 2 LaLP; 65 al. 1 et 2 LPA, applicable par renvoi de l'art. 9 al. 4 LaLP); elle est donc recevable.</w:t>
      </w:r>
    </w:p>
    <w:p>
      <w:r>
        <w:rPr>
          <w:b/>
        </w:rPr>
        <w:t>E. 2</w:t>
      </w:r>
    </w:p>
    <w:p>
      <w:r>
        <w:t>La plaignante reproche à l'Office d'avoir attendu la fin du mois d'août 2017 pour lui adresser un ultime rappel alors que les factures ont été éditées en 2014 et 2015. En revanche, elle ne conteste pas les montants mis à sa charge, mais expose avoir de la difficulté à réunir les justificatifs de paiement idoines.</w:t>
      </w:r>
    </w:p>
    <w:p>
      <w:r>
        <w:rPr>
          <w:b/>
        </w:rPr>
        <w:t>E. 2.1</w:t>
      </w:r>
    </w:p>
    <w:p>
      <w:r>
        <w:t>Selon l'art. 68 al. 1 LP, le créancier doit faire l'avance des frais de poursuite. Ceux-ci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(OELP; RS 281.35; ATF 119 III 63 cons. 4a). Tous les débours, tels les frais administratifs, les taxes de télécommunications et les taxes postales doivent être remboursés (art. 13 al. 1 OELP).</w:t>
      </w:r>
    </w:p>
    <w:p>
      <w:r>
        <w:rPr>
          <w:b/>
        </w:rPr>
        <w:t>E. 2.2</w:t>
      </w:r>
    </w:p>
    <w:p>
      <w:r>
        <w:t>Au vu des dispositions précitées, il appartient à la plaignante, qui a requis les deux poursuites auxquelles se rapportent les factures litigieuses, d'assumer les frais y relatifs. S'il est vrai que l'Office a tardé à réclamer les montants qui lui sont dus, puisqu'aucun rappel n'a été émis depuis août 2015, ses créances ne sont pas périmées pour autant. En effet, ni la LP ni l'OELP ne prévoient une péremption de la créance de l'Office en paiement des émoluments. Enfin, les difficultés dont fait état la plaignante pour réunir les justificatifs de paiement idoines ne permettent pas de retenir que les montants qui lui sont réclamés à bon droit ne seraient pas dus. A cet égard, les paiements qu'elle a effectués en 2016 ne correspondent pas aux factures litigieuses, puisque les références de paiement sont différentes. Il lui appartient donc de s'acquitter des montants réclamés par l'Office. Le délai imparti dans la décision querellée étant échu, un nouveau délai sera fixé à la plaignante pour verser les montants litigieux. Au vu de ce qui précède, la plainte sera rejetée et la plaignante invitée à payer à l'Office la somme de 235 fr. 45.</w:t>
      </w:r>
    </w:p>
    <w:p>
      <w:r>
        <w:rPr>
          <w:b/>
        </w:rPr>
        <w:t>E. 3</w:t>
      </w:r>
    </w:p>
    <w:p>
      <w:r>
        <w:t>. La procédure est gratuite (art. 20a al. 2 ch. 5 LP). * * * * * PAR CES MOTIFS, La Chambre de surveillance : A la forme : Déclare recevable la plainte formée le 22 septembre 2017 par A______ contre la décision de l'Office des poursuites du 31 août 2017 lui réclamant le paiement des factures n° 1______ et n° 2______ totalisant 235 fr. 45. Au fond : Rejette la plainte. Invite A______ à verser à l'Office des poursuites la somme de 235 fr. 45 dans un délai de 15 jours dès réception de la présente décision. Siégeant : Madame Nathalie RAPP, présidente; Messieurs Georges ZUFFEREY et Eric DE PREUX,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