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A/3894/2013 vom 15. März 2016</w:t>
      </w:r>
    </w:p>
    <w:p>
      <w:r>
        <w:t>GE Cour de justice, 2016-03-15, FR</w:t>
      </w:r>
    </w:p>
    <w:p>
      <w:r>
        <w:rPr>
          <w:b/>
        </w:rPr>
        <w:t xml:space="preserve">Quelle: </w:t>
      </w:r>
      <w:r>
        <w:t>https://mcp.opencaselaw.ch/entscheid/ge_gerichte_A_3894_2013</w:t>
      </w:r>
    </w:p>
    <w:p>
      <w:r>
        <w:t>FR: GE_GERICHTE A/3894/2013 du 15 mars 2016</w:t>
      </w:r>
    </w:p>
    <w:p>
      <w:r>
        <w:t>IT: GE_GERICHTE A/3894/2013 del 15 marzo 2016</w:t>
      </w:r>
    </w:p>
    <w:p>
      <w:pPr>
        <w:pStyle w:val="Heading2"/>
      </w:pPr>
      <w:r>
        <w:t>Regeste</w:t>
      </w:r>
    </w:p>
    <w:p>
      <w:r>
        <w:t>AUTORISATION DÉROGATOIRE(PERMIS DE CONSTRUIRE) ; ZONE AGRICOLE ; AMÉNAGEMENT DES ABORDS ; PRINCIPE DE LA BONNE FOI | Confirmation du refus d'autoriser la transformation d'une villa sise en zone agricole en vue de l'agrandissement de la villa et de son affectation partielle à un cabinet médical. Restriction des conditions d'agrandissement d'un bâtiment à l'extérieur du volume bâti existant, par le nouvel art. 24c al. 4 LAT expressément rappelé à l'art. 42 al. 3 let. b OAT. Le projet, qui comporte des modifications significatives à l'extérieur du bâtiment, n'est ni nécessaire à un usage d'habitation répondant aux normes usuelles ni à un assainissement énergétique ni ne vise une meilleure intégration dans le paysage, de sorte que l'exigence prévue à l'art. 24c al. 4 LAT n'est pas remplie. Pas de violation du principe de la bonne foi en raison notamment du changement législatif intervenu entre le dépôt de la demande d'autorisation de construire et le refus de l'autorisation de construire dérogatoire. | LAT.24c ; OAT.42 ; OAT.52 ; LaLAT.27c</w:t>
      </w:r>
    </w:p>
    <w:p>
      <w:pPr>
        <w:pStyle w:val="Heading2"/>
      </w:pPr>
      <w:r>
        <w:t>Erwägungen</w:t>
      </w:r>
    </w:p>
    <w:p>
      <w:r>
        <w:rPr>
          <w:b/>
        </w:rPr>
        <w:t>E. 2</w:t>
      </w:r>
    </w:p>
    <w:p>
      <w:r>
        <w:t>) serait indispensable pour la réfection du toit, ni n'en apportent la preuve. Ils se contentent d'indiquer que la création de mansardes est « fortement conseillée » par leur architecte, en ajoutant que, selon plusieurs architectes consultés, les velux installés sur un pan de toiture faiblement incliné se dégraderaient plus rapidement que sur un pan de toiture plus incliné. Le projet litigieux ne vise pas non plus un assainissement énergétique, ni n'est nécessaire à cet effet, et n'a pas pour but une meilleure intégration du bâtiment dans le paysage, au contraire. Dans ces conditions, l'argument des recourants relatif à la nécessité de continuer à pouvoir percevoir des revenus au-delà de la retraite, bien que compréhensible, n'est pas déterminant, à l'instar d'une hypothétique destination du premier étage à la location ou à toute autre activité conforme à l'affectation future de la zone Bernex-Est. d. Au vu de ce qui précède, le DALE n'a pas violé le droit ni abusé ou excédé de son pouvoir d'appréciation en considérant le projet litigieux comme non conforme aux art. 24c LAT et 42 OAT. La transformation du bâtiment existant doit en conséquence être refusée. Le jugement du TAPI et la décision du département sont ainsi confirmés et le recours rejeté sur ce point. 7) 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et sans réserve,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Enfin, f) l'intérêt à une application stricte du droit objectif ne doit pas l'emporter sur l'intérêt découlant de la protection de la bonne foi (ATF 137 II 182 consid. 3.6.2 p. 193 ; ATF 137 I 69 consid. 2.5.1 ; arrêts du Tribunal fédéral 1C_151/2012 du 5 juillet 2012 consid. 4.2.1 ; 2C_1023/2011 du 10 mai 2012 consid. 5 ; ATA/750/2014 du 23 septembre 2014). b. En l'espèce, entre les différents préavis et entretiens avec le DALE (février 2011 - été 2012) et le moment où le département a statué, soit en octobre 2013, la teneur des art. 24c LAT et 42 OAT a changé le 1 er novembre 2012. Ce changement législatif a, comme exposé ci-dessus, conduit à un durcissement des conditions de l'octroi de la dérogation pour les agrandissements à l'extérieur du volume bâti existant. La cinquième condition susmentionnée relative à l'absence de changement législatif n'est ainsi pas remplie. En outre, il existe un intérêt public particulièrement important à l'application du droit, qui découle des principes et buts de la LAT. Il s'agit du principe fondamental en matière d'aménagement du territoire visant la séparation des zones constructibles et des zones inconstructibles (art. 1 al. 1 LAT ; arrêt du Tribunal fédéral 1C_318/2013 du 10 décembre 2013 consid. 3.2 ; ATA/317/2015 du 31 mars 2015 ; Rudolf MUGGLI, in Heinz AEMISEGGER/Alfred KUTTLER/ Pierre MOOR/Alexander RUCH/Pierre TSCHANNEN, Commentaire de la Loi fédérale sur l'aménagement du territoire, 2009, ad Remarques préliminaires relatives aux articles 24 à 24d et 37a n. 12 ss, 15 et 22). Contrairement aux zones à bâtir, la zone agricole est une zone inconstructible par principe (art. 16 al. 1 LAT ; Alexander RUCH in Heinz AEMISEGGER/Alfred KUTTLER/Pierre MOOR/Alexander RUCH/Pierre TSCHANNEN, op. cit., ad art. 16 n. 11s). Par ailleurs, contrairement aux allégations des recourants, le département, bien qu'il ait rendu un rapport d'entrée favorable le 17 février 2011, ne s'est pas prononcé favorablement au projet durant la procédure. Au contraire, il a, à plusieurs reprises, rappelé aux recourants qu'un projet modifié, revu à la baisse, permettrait vraisemblablement de répondre aux dispositions légales en la matière, propos auxquels les recourants n'ont pas réagi. c. Par conséquent, les recourants ne peuvent pas se prévaloir du principe de la bonne foi pour prétendre à l'octroi de l'autorisation de construire dérogatoire fondée sur les dispositions précitées, et ce indépendamment de leur collaboration à l'établissement des faits et de leur volonté de respecter le cadre légal. Le recours est donc rejeté sur ce point également, et le jugement du TAPI confirmé. 8) Au vu de ce qui précède, le recours sera rejeté. Un émolument de CHF 1'000.- sera mis à la charge des recourants, pris conjointement et solidairement, qui succombent, (art. 87 al. 1 LPA). Vu l'issue du litige,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