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A/3890/2005 vom 13. September 2005</w:t>
      </w:r>
    </w:p>
    <w:p>
      <w:r>
        <w:t>GE Cour de justice, 2005-09-13, FR</w:t>
      </w:r>
    </w:p>
    <w:p>
      <w:r>
        <w:rPr>
          <w:b/>
        </w:rPr>
        <w:t xml:space="preserve">Quelle: </w:t>
      </w:r>
      <w:r>
        <w:t>https://mcp.opencaselaw.ch/entscheid/ge_gerichte_A_3890_2005</w:t>
      </w:r>
    </w:p>
    <w:p>
      <w:r>
        <w:t>FR: GE_GERICHTE A/3890/2005 du 13 septembre 2005</w:t>
      </w:r>
    </w:p>
    <w:p>
      <w:r>
        <w:t>IT: GE_GERICHTE A/3890/2005 del 13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Préalablement, le Tribunal de céans refusera de reconnaître M. R.__________, avocat radié du Barreau en juillet 2005, comme mandataire professionnellement qualifié du demandeur en faisant sienne la jurisprudence du Tribunal administratif (arrêt du 27 mai 1997 - cause A/1002/1996 - ASSU) déniant la qualité de mandataire professionnellement qualifié à un avocat radié. Cet arrêt mentionne que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 Or, tel n'est pas le cas d'un avocat radié qui ne peut plus exercer le métier d'avocat, mais qui garde une étude, qui utilise de surcroît le papier à en-tête avec les initiales "Me" devant son nom et que rien de prime abord ne distingue d'un avocat ayant les compétences de défendre des clients devant toute administration ou toute juridiction. Le but de l'art. 9 al. 1 LPA est violé s'il permet une assimilation et, par voie de conséquence, génère une confusion dans l'esprit des administrés entre, d'une part, les avocats, lesquels sont soumis à l'obligation d'être inscrits au Barreau et de ce fait à une surveillance disciplinaire, et, d'autre part, à tout juriste indépendant qui n'est pas soumis aux mêmes règles de surveillance et n'est pas habilité à défendre des clients devant toute administration ou toute juridiction".</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4</w:t>
      </w:r>
    </w:p>
    <w:p>
      <w:r>
        <w:t>En l’espèce, le juge de première instance a ordonné le partage par moitié des avoirs de prévoyance des demandeurs. Les dates pertinentes sont, d’une part, celle du mariage, le 10 mai 1999, d’autre part le 22 octobre 2005, date à laquelle le jugement de divorce est devenu exécutoire. Selon les documents produits, la prestation acquise pendant le mariage par M. L.__________ est de fr. 8'728,80, quant à Mme L. L.__________, elle n'a pas cotisé auprès d'une institution de prévoyance pendant la durée du mariage. Ainsi M. L.__________ doit à son ex-épouse le montant de fr. 4'364,40 (fr. 8'728,80 - : 2).</w:t>
      </w:r>
    </w:p>
    <w:p>
      <w:r>
        <w:rPr>
          <w:b/>
        </w:rPr>
        <w:t>E. 5</w:t>
      </w:r>
    </w:p>
    <w:p>
      <w:r>
        <w:t>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w:t>
      </w:r>
    </w:p>
    <w:p>
      <w:r>
        <w:rPr>
          <w:b/>
        </w:rPr>
        <w:t>E. 6</w:t>
      </w:r>
    </w:p>
    <w:p>
      <w:r>
        <w:t>Il incombera à la Caisse Inter-Entreprises de prévoyance professionnelle de requérir l'ouverture d'un compte au nom de Mme L. L.__________ auprès de la Fondation institution supplétive LPP afin que le montant précité soit crédité à la demanderesse.</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