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A/388/2004 vom 10. März 2004</w:t>
      </w:r>
    </w:p>
    <w:p>
      <w:r>
        <w:t>GE Cour de justice, 2004-03-10, FR</w:t>
      </w:r>
    </w:p>
    <w:p>
      <w:r>
        <w:rPr>
          <w:b/>
        </w:rPr>
        <w:t xml:space="preserve">Quelle: </w:t>
      </w:r>
      <w:r>
        <w:t>https://mcp.opencaselaw.ch/entscheid/ge_gerichte_A_388_2004</w:t>
      </w:r>
    </w:p>
    <w:p>
      <w:r>
        <w:t>FR: GE_GERICHTE A/388/2004 du 10 mars 2004</w:t>
      </w:r>
    </w:p>
    <w:p>
      <w:r>
        <w:t>IT: GE_GERICHTE A/388/2004 del 10 marzo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25.03.2004 A/388/2004</w:t>
      </w:r>
    </w:p>
    <w:p>
      <w:r>
        <w:t>A/388/2004 ATAS/166/2004 du 25.03.2004 ( LAMAL ) , SANS OBJET RÉPUBLIQUE ET CANTON DE GENÈVE POUVOIR JUDICIAIRE A/388/2004 ATAS/166/2004 A/RRET DU TRIBUNAL CANTONAL DES ASSURANCES SOCIALES 3 ème chambre du 25 mars 2004 En la cause Mademoiselle S. A__________ recourante contre PHILOS , caisse maladie-accident, section FRV, avenue du Casino 13, 1820 Montreux intimée Attendu que par décision sur opposition du 29 janvier 2004, la caisse maladie-accident PHILOS (ci-après la caisse) a refusé de prendre en charge l’hospitalisation de S. A__________ du 15 au 21 juillet 2003, car n’étant, selon l’avis du médecin-conseil, médicalement pas justifiée ; Que par courrier du 27 février 2004, les parents de S., A. et J. A__________, ont interjeté recours contre cette décision ; Qu’invitée à se déterminer, la caisse, par courrier du 10 mars 2004, a rendu une nouvelle décision annulant la décision sur opposition du 29 janvier 2004 et acceptant la prise en charge de la facture litigieuse ; Que force est dès lors de constater que le litige devient sans objet ; Qu’il convient dès lors de le rayer du rôle ; PAR CES MOTIFS, LE TRIBUNAL CANTONAL DES ASSURANCES SOCIALES : Statuant, conformément à la disposition transitoire de l’art. 162 LOJ A la forme : Constate que le recours est recevable ; Au fond : Prend acte de la décision du 10 mars 2004 annulant et remplaçant celle du 29 janvier 2004 ; Déclare le recours sans objet ; Raye la cause du rôle. La greffière: Janine BOFFI La présidente : Karine STECK Une copie conforme du présent arrêt est notifiée aux parties et à l’Office féderal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