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A/3880/2007 vom 18. März 2008</w:t>
      </w:r>
    </w:p>
    <w:p>
      <w:r>
        <w:t>GE Cour de justice, 2008-03-18, FR</w:t>
      </w:r>
    </w:p>
    <w:p>
      <w:r>
        <w:rPr>
          <w:b/>
        </w:rPr>
        <w:t xml:space="preserve">Quelle: </w:t>
      </w:r>
      <w:r>
        <w:t>https://mcp.opencaselaw.ch/entscheid/ge_gerichte_A_3880_2007</w:t>
      </w:r>
    </w:p>
    <w:p>
      <w:r>
        <w:t>FR: GE_GERICHTE A/3880/2007 du 18 mars 2008</w:t>
      </w:r>
    </w:p>
    <w:p>
      <w:r>
        <w:t>IT: GE_GERICHTE A/3880/2007 del 18 marzo 2008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Ainsi il y a lieu de constater que le recours, mal fondé, doit être rejeté.</w:t>
      </w:r>
    </w:p>
    <w:p>
      <w:r>
        <w:rPr>
          <w:b/>
        </w:rPr>
        <w:t>E. 8</w:t>
      </w:r>
    </w:p>
    <w:p>
      <w:r>
        <w:t>La loi fédérale du 16 décembre 2005 modifiant la loi fédérale sur l'assurance-invalidité est entrée en vigueur le 1 er juillet 2006 (RO 2006 2003), apporte des modifications qui concernent notamment la procédure conduite devant le Tribunal cantonal des assurances (art. 52, 58 et 61 let. a LPGA). En particulier, la procédure de recours en matière de contestations portant sur l'octroi ou le refus de prestations de l'assurance-invalidité devant le Tribunal de céans est désormais soumise à des frais de justice, qui doivent se situer entre 200 fr. et 1'000 fr. (art. 69 al. 1 bis LAI). En l'espèce, le présent cas est soumis au nouveau droit (ch. II let. c des dispositions transitoires relatives à la modification du 16 décembre 2005). Il sera donc perçu un émolument.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