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A/387/2016 vom 25. Februar 2016</w:t>
      </w:r>
    </w:p>
    <w:p>
      <w:r>
        <w:t>GE Cour de justice, 2016-02-25, FR</w:t>
      </w:r>
    </w:p>
    <w:p>
      <w:r>
        <w:rPr>
          <w:b/>
        </w:rPr>
        <w:t xml:space="preserve">Quelle: </w:t>
      </w:r>
      <w:r>
        <w:t>https://mcp.opencaselaw.ch/entscheid/ge_gerichte_A_387_2016</w:t>
      </w:r>
    </w:p>
    <w:p>
      <w:r>
        <w:t>FR: GE_GERICHTE A/387/2016 du 25 février 2016</w:t>
      </w:r>
    </w:p>
    <w:p>
      <w:r>
        <w:t>IT: GE_GERICHTE A/387/2016 del 25 febbraio 2016</w:t>
      </w:r>
    </w:p>
    <w:p>
      <w:pPr>
        <w:pStyle w:val="Heading2"/>
      </w:pPr>
      <w:r>
        <w:t>Volltext</w:t>
      </w:r>
    </w:p>
    <w:p>
      <w:r>
        <w:t>Genève Cour de justice (Cour de droit public) Chambre des assurances sociales 25.02.2016 A/387/2016</w:t>
      </w:r>
    </w:p>
    <w:p>
      <w:r>
        <w:t>A/387/2016 ATAS/163/2016 du 25.02.2016 ( AVS ) , IRRECEVABLE rÉpublique et canton de genÈve POUVOIR JUDICIAIRE A/387/2016 ATAS/163/2016 COUR DE JUSTICE Chambre des assurances sociales Arrêt du 25 février 2016 3 ème Chambre En la cause Monsieur A______, constructions métalliques, à PLAN-LES-OUATES recourant contre CAISSE DE COMPENSATION DE LA FÉDÉRATION ROMANDE DE MÉTIERS DU BÂTIMENT, MEROBA N° 111, sise avenue Eugène-Pittard 24, GENÈVE intimée ATTENDU EN FAIT Que par décision du 21 septembre 2015, la Caisse de compensation de la fédération romande de métiers du bâtiment (ci-après : la caisse) a fixé le montant des cotisations dues par Monsieur A______ (ci-après : l’assuré) pour l’année 2012 ; Que l’intéressé a formé opposition contre cette décision le 5 octobre 2015 ; Que par décision du 13 octobre 2015, la caisse a rejeté cette opposition en expliquant le calcul de taxation définitive pour personne ayant atteint l’âge de la retraite auquel elle s’était livrée ; qu’en particulier, la caisse a indiqué à l’assuré que la différence qu’il relevait entre son revenu et la taxation fiscale était due à la reprise d’un bénéfice de liquidation ; Que par courrier du 26 janvier 2016 adressé à la caisse et transmis par cette dernière à la chambre de céans comme objet de sa compétence, l’assuré a indiqué contester le montant des intérêts moratoires, soit CHF 3'750.45, en alléguant que le retard pris dans l’établissement de sa taxation fiscale ne lui était pas imputable ; Que par courrier du 3 février 2016 adressé cette fois à la chambre de céans, l’assuré a indiqué faire « recours contre les intérêts facturés pour des cotisations personnelles » ; Qu’invité à expliquer pour quelle raison il avait interjeté recours tardivement, l’intéressé a répondu par courrier du 15 février 2016 que c’était parce qu’il avait dû interpeller sa fiduciaire afin de déterminer d’où venait le bénéfice de liquidation invoqué par la caisse, démarche qui avait pris du temps et qui l’avait empêché d’agir plus tôt ; CONSIDÉRANT EN DROIT Que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60 de la loi fédérale du 6 octobre 2000 sur la partie générale du droit des assurances sociales (LPGA) prévoit un délai de recours de trente jours dès la notification de la décision attaquée ; Que selon l’art. 60 al. 2 LPGA, les art.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 Qu’il s’agit là de dispositions impératives auxquelles il ne peut être dérogé (Jurisprudence des autorités administratives de la Confédération [JAAC] 60/1996, consid. 5.4, p. 367 ; ATF 119 II 87 consid. 2a; ATF 112 V 256 consid. 2a) ; Qu’en l’espèce, le délai de recours a commencé à courir le lendemain de la notification, soit le mercredi 14 octobre 2015 au plus tôt et qu’il est donc venu à échéance le lundi 16 novembre 2015 au plus tôt ; Que le recours n’a été déposé à la poste qu’en date du 26 janvier 2016, de sorte qu’il est manifestement intervenu tardivement, même si la date exacte de la notification n’a pas été établie ; Que le recourant ne le conteste pas au demeurant puisqu’il admet avoir agi tardivement ; Que le motif de restitution de délai invoqué par le recourant, soit le fait que son mandataire devait se pencher sur le dossier afin d’éclaircir la situation, ne saurait être considéré comme un empêchement valable au sens de la loi ; Qu’au demeurant, rien n’empêchait l’assuré d’agir pour sauvegarder ses droits d’autant que le motif de recours finalement invoqué n’a rien à voir avec le calcul au fond des cotisations ; Que le recours déposé en date du 26 janvier 2016 doit dès lors être déclaré irrecevable pour cause de tardiveté ; Que la Cour relève au surplus qu’au fond, le recours aurait quoi qu’il en soit été manifestement mal fondé ; Qu’en effet, le prélèvement d’intérêts moratoires constitue une obligation légale qui ne poursuit aucun but punitif :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PAR CES MOTIFS, LA CHAMBRE DES ASSURANCES SOCIALES : Statuant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