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A/3869/2022 vom 17. Oktober 2023</w:t>
      </w:r>
    </w:p>
    <w:p>
      <w:r>
        <w:t>GE Cour de justice, 2023-10-17, FR</w:t>
      </w:r>
    </w:p>
    <w:p>
      <w:r>
        <w:rPr>
          <w:b/>
        </w:rPr>
        <w:t xml:space="preserve">Quelle: </w:t>
      </w:r>
      <w:r>
        <w:t>https://mcp.opencaselaw.ch/entscheid/ge_gerichte_A_3869_2022</w:t>
      </w:r>
    </w:p>
    <w:p>
      <w:r>
        <w:t>FR: GE_GERICHTE A/3869/2022 du 17 octobre 2023</w:t>
      </w:r>
    </w:p>
    <w:p>
      <w:r>
        <w:t>IT: GE_GERICHTE A/3869/2022 del 17 ottobre 2023</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w:t>
      </w:r>
    </w:p>
    <w:p>
      <w:r>
        <w:rPr>
          <w:b/>
        </w:rPr>
        <w:t>E. 2</w:t>
      </w:r>
    </w:p>
    <w:p>
      <w:r>
        <w:t>À teneur de l’art. 1 al. 1 LAI, les dispositions de la LPGA s’appliquent à l’assurance-invalidité, à moins que la loi n’y déroge expressément.![endif]&gt;![if&gt;</w:t>
      </w:r>
    </w:p>
    <w:p>
      <w:r>
        <w:rPr>
          <w:b/>
        </w:rPr>
        <w:t>E. 3</w:t>
      </w:r>
    </w:p>
    <w:p>
      <w:r>
        <w:t>Le 1 er janvier 2022, les modifications de la LAI du 19 juin 2020 (développement continu de l’AI ; RO 2021 705) ainsi que celles du 3 novembre 2021 du règlement sur l’assurance-invalidité du 17 janvier 1961 (RAI - RS 831.201 ; RO 2021 706) sont entrées en vigueur.![endif]&gt;![if&gt; En l’absence de disposition transitoire spéciale, ce sont les principes généraux de droit intertemporel qui prévalent, à savoir l’application du droit en vigueur lorsque les faits déterminants se sont produits (cf.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(cf. arrêt du Tribunal fédéral 9C_60/2023 du 20 juillet 2023 consid. 2.2. et les références). En l’occurrence, la décision querellée a certes été rendue postérieurement au 1 er janvier 2022. Toutefois, la demande de prestations ayant été déposée en juillet 2016 et le délai d’attente d’une année venant à échéance le 7 avril 2017, un éventuel droit à une rente d’invalidité naîtrait antérieurement au 1 er janvier 2022 (cf. art. 28 al. 1 let. b et 29 al. 1 LAI), de sorte que les dispositions applicables seront citées dans leur teneur en vigueur jusqu’au 31 décembre 2021.</w:t>
      </w:r>
    </w:p>
    <w:p>
      <w:r>
        <w:rPr>
          <w:b/>
        </w:rPr>
        <w:t>E. 4</w:t>
      </w:r>
    </w:p>
    <w:p>
      <w:r>
        <w:t>Le délai de recours est de trente jours (art. 56 LPGA ; art. 62 al. 1 de la loi sur la procédure administrative du 12 septembre 1985 [LPA - E 5 10]). ![endif]&gt;![if&gt; Interjeté dans la forme et le délai prévus par la loi, compte tenu de la notification de la décision litigieuse le 19 octobre 2022, le recours est recevable.</w:t>
      </w:r>
    </w:p>
    <w:p>
      <w:r>
        <w:rPr>
          <w:b/>
        </w:rPr>
        <w:t>E. 5</w:t>
      </w:r>
    </w:p>
    <w:p>
      <w:r>
        <w:t>De jurisprudence constante, le juge apprécie en règle générale la légalité des décisions entreprises d'après l'état de fait existant au moment où la décision litigieuse a été rendue (ATF 144 V 210 consid. 4.3.1 ; 132 V 215 consid. 3.1.1). Les faits survenus postérieurement, et qui ont modifié cette situation, doivent en principe faire l'objet d'une nouvelle décision administrative (ATF 144 V 210 consid. 4.3.1 ; 130 V 130 consid. 2.1). Même s'il a été rendu postérieurement à la date déterminante, un rapport médical doit cependant être pris en considération, dans la mesure où il a trait à la situation antérieure à cette date (cf. ATF 99 V 98 consid. 4 et les arrêts cités ; arrêt du Tribunal fédéral 9C_259/2018 du 25 juillet 2018 consid. 4.2).![endif]&gt;![if&gt;</w:t>
      </w:r>
    </w:p>
    <w:p>
      <w:r>
        <w:rPr>
          <w:b/>
        </w:rPr>
        <w:t>E. 6</w:t>
      </w:r>
    </w:p>
    <w:p>
      <w:r>
        <w:t>Le litige porte sur le droit de la recourante à des prestations d'invalidité.![endif]&gt;![if&gt;</w:t>
      </w:r>
    </w:p>
    <w:p>
      <w:r>
        <w:rPr>
          <w:b/>
        </w:rPr>
        <w:t>E. 7</w:t>
      </w:r>
    </w:p>
    <w:p>
      <w:r>
        <w:t>![endif]&gt;![if&gt;</w:t>
      </w:r>
    </w:p>
    <w:p>
      <w:r>
        <w:rPr>
          <w:b/>
        </w:rPr>
        <w:t>E. 7.1</w:t>
      </w:r>
    </w:p>
    <w:p>
      <w:r>
        <w:t>La recourante invoque une violation de son droit d'être entendue au motif que l'intimé n'aurait pas attendu la fin du délai légal pour qu'elle formule ses observations, avant de rendre la décision définitive de refus de prestations.</w:t>
      </w:r>
    </w:p>
    <w:p>
      <w:r>
        <w:rPr>
          <w:b/>
        </w:rPr>
        <w:t>E. 7.1.1</w:t>
      </w:r>
    </w:p>
    <w:p>
      <w:r>
        <w:t>Le droit d'être entendu, garanti par les art. 29 al. 2 de la Constitution fédérale de la Confédération suisse du 18 avril 1999 (Cst. - RS 101) et 42 LPGA, comprend, en particulier,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143 V 71 consid. 4.1 ; 132 II 485 consid. 3.2 ; 129 II 497 consid. 2.2 ; 126 I 15 consid. 2/aa).![endif]&gt;![if&gt;</w:t>
      </w:r>
    </w:p>
    <w:p>
      <w:r>
        <w:rPr>
          <w:b/>
        </w:rPr>
        <w:t>E. 7.1.2</w:t>
      </w:r>
    </w:p>
    <w:p>
      <w:r>
        <w:t>En vertu de l'art. 57 a al. 1 LAI, au moyen d'un préavis, l'office AI communique à l'assuré toute décision finale qu'il entend prendre au sujet d'une demande de prestations ou au sujet de la suppression ou de la réduction d'une prestation déjà allouée. L'assuré a le droit d'être entendu, conformément à l'art. 42 LPGA.![endif]&gt;![if&gt; Aux termes de l'art. 73 ter RAI, les parties peuvent faire part à l'office AI de leurs observations sur le préavis dans un délai de trente jours (al. 1). L'assuré peut communiquer ses observations à l'office AI par écrit ou oralement, lors d'un entretien personnel (al. 2 1 ère phr.). À teneur de l'art. 74 RAI, une fois l'instruction de la demande achevée, l'office AI se prononce sur la demande de prestations (al. 1). La motivation tient compte des observations qui ont été faites par les parties sur le préavis, pour autant qu'elles portent sur des points déterminants (al. 2). En dérogation à l'art. 52 LPGA, les décisions des offices AI cantonaux peuvent directement faire l'objet d'un recours devant le tribunal des assurances du domicile de l'office concerné (art. 69 al. 1 let. a LAI).</w:t>
      </w:r>
    </w:p>
    <w:p>
      <w:r>
        <w:rPr>
          <w:b/>
        </w:rPr>
        <w:t>E. 7.1.3</w:t>
      </w:r>
    </w:p>
    <w:p>
      <w:r>
        <w:t>Selon la jurisprudence et la doctrine, le délai de l'art. 73 ter LAI est un délai d'ordre qui peut être prolongé pour de justes motifs (ATF 143 V 71 consid. 4.3). Prolongé ou non, il doit être respecté par l'office AI. Ce dernier commet ainsi une violation du droit de l'assuré à être entendu, lorsqu'il statue avant l'échéance du délai imparti à celui-ci pour qu'il se détermine sur le projet de décision, en écartant ainsi des moyens déposés en temps utile, ou en n'entrant pas en matière sans tenir compte d'une demande de prolongation du délai présentée par l'assuré dans le délai de trente jours, par exemple afin qu'il puisse se faire conseiller par le représentant qu'il a désigné entre-temps (arrêts du Tribunal fédéral I 658/04 du 27 janvier 2006 consid. 5 ; I 459/02 du 29 octobre 2002 consid. 4 ; Michel VALTERIO, Commentaire de la loi fédérale sur l'assurance-invalidité, 2018, n. 8 ad art. 57 a LAI).![endif]&gt;![if&gt; Dans le cadre de la procédure de préavis, l'office AI ne saurait se limiter à prendre connaissance et à examiner les observations ou les objections de l'assuré. Il doit bien plutôt se prononcer expressément sur les points essentiels justifiant sa décision ou à tout le moins indiquer les raisons pour lesquelles il ne peut prendre en compte certains points de vue (arrêts du Tribunal fédéral 9C_606/2014 du 9 décembre 2014 consid. 2.1 ; 8C_589/2014 du 16 juin 2015). Le droit d'être entendu est ainsi violé lorsque, malgré les objections de l'assuré, la décision est identique à celle du préavis (arrêt du Tribunal fédéral des assurances I 658/04 du 27 janvier 2006 consid. 4 ; Michel VALTERIO, op. cit ., n. 9 ad art. 57 a LAI).</w:t>
      </w:r>
    </w:p>
    <w:p>
      <w:r>
        <w:rPr>
          <w:b/>
        </w:rPr>
        <w:t>E. 7.1.4</w:t>
      </w:r>
    </w:p>
    <w:p>
      <w:r>
        <w:t>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 ni de l'administré dont le droit d'être entendu a été lésé (ATF 132 V 387 consid. 5.1).![endif]&gt;![if&gt;</w:t>
      </w:r>
    </w:p>
    <w:p>
      <w:r>
        <w:rPr>
          <w:b/>
        </w:rPr>
        <w:t>E. 7.2</w:t>
      </w:r>
    </w:p>
    <w:p>
      <w:r>
        <w:t>Aux termes de l'art. 39 al. 1 LPGA, les écrits doivent être remis au plus tard le dernier jour du délai à l'assureur ou, à son adresse, à La Poste suisse ou à une représentation diplomatique ou consulaire suisse.![endif]&gt;![if&gt; Si le délai, compté par jours ou par mois, doit être communiqué aux parties, il commence à courir le lendemain de la communication (art. 38 al. 1 LPGA). Lorsque le délai échoit un samedi, un dimanche ou un jour férié selon le droit fédéral ou cantonal, son terme est reporté au premier jour ouvrable qui suit (art. 38 al. 2 LPGA).</w:t>
      </w:r>
    </w:p>
    <w:p>
      <w:r>
        <w:rPr>
          <w:b/>
        </w:rPr>
        <w:t>E. 7.3</w:t>
      </w:r>
    </w:p>
    <w:p>
      <w:r>
        <w:t>En l'occurrence, l'intimé a rendu son préavis au sens de l'art. 57 a al. 1 LAI en date du 12 septembre 2022. Celui-ci a été notifié au domicile élu de la recourante le 16 septembre 2022 – selon les déclarations non contestées de cette dernière – de sorte que le délai de 30 jours pour qu'elle fasse valoir ses observations venait à échéance le 16 octobre 2022. Ce jour étant un dimanche, le délai a été reporté au 17 octobre 2022. En postant ses observations à cette date, la recourante a par conséquent exprimé dans les délais son point de vue au sujet du préavis de l'intimé, de sorte que ce dernier, en rendant sa décision avant d'en prendre connaissance et sans se prononcer sur les griefs soulevés, a violé son droit d'être entendue.![endif]&gt;![if&gt; La question de savoir si la violation de ce vice a été réparée par la procédure menée devant la chambre de céans peut demeurer ouverte, vu les considérants et le dispositif qui suivent.</w:t>
      </w:r>
    </w:p>
    <w:p>
      <w:r>
        <w:rPr>
          <w:b/>
        </w:rPr>
        <w:t>E. 8</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2).![endif]&gt;![if&gt;</w:t>
      </w:r>
    </w:p>
    <w:p>
      <w:r>
        <w:rPr>
          <w:b/>
        </w:rPr>
        <w:t>E. 9</w:t>
      </w:r>
    </w:p>
    <w:p>
      <w:r>
        <w:t>En vertu de l’art. 28 al. 2 LAI, l’assuré a droit à une rente entière s’il est invalide à 70% au moins, à un trois quarts de rente s'il est invalide à 60% au moins, à une demi-rente s’il est invalide à 50% au moins, ou à un quart de rente s’il est invalide à 40% au moins.![endif]&gt;![if&gt; Tant lors de l'examen initial du droit à la rente qu'à l'occasion d'une révision de celle-ci (art. 17 LPGA), il faut examiner sous l'angle des art. 4 et 5 LAI quelle méthode d'évaluation de l'invalidité il convient d'appliquer (art. 28 a LAI, en corrélation avec les art. 27 ss RAI ; méthode générale de comparaison des revenus, méthode mixte, méthode spécifique). Pour évaluer le taux d'invalidité des assurés exerçant une activité lucrative,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 al. 1 LAI). L’invalidité de l’assuré qui n’exerce pas d’activité lucrative et dont on ne peut raisonnablement exiger qu’il en entreprenne une est évaluée, en dérogation à l’art. 16 LPGA, en fonction de son incapacité à accomplir ses travaux habituels (art. 28 a al. 2 LAI). Lorsque l’assuré exerce une activité lucrative à temps partiel, l’invalidité pour cette activité est évaluée selon l’art. 16 LPGA. S’il accomplit ses travaux habituels, l’invalidité est fixée selon l’art. 28 a al. 2 LAI pour cette activité-là. Dans ce cas, les parts respectives de l’activité lucrative et de l’accomplissement des travaux habituels sont déterminées ; le taux d’invalidité est calculé dans les deux domaines d’activité (art. 28 a al. 3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10</w:t>
      </w:r>
    </w:p>
    <w:p>
      <w:r>
        <w:t>![endif]&gt;![if&gt;</w:t>
      </w:r>
    </w:p>
    <w:p>
      <w:r>
        <w:rPr>
          <w:b/>
        </w:rPr>
        <w:t>E. 10.1</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102 V 165 consid. 3.1 ; VSI 2001 p. 223 consid. 2b ; arrêt du Tribunal fédéral I 786/04 du 19 janvier 2006 consid. 3.1).![endif]&gt;![if&gt; La reconnaissance de l’existence d’une atteinte à la santé psychique suppose la présence d’un diagnostic émanent d’un expert (psychiatre) et s’appuyant selon les règles de l’art sur les critères d’un système de classification reconnu, tel le CIM ou le DSM-IV (ATF 143 V 409 consid. 4.5.2 ; 141 V 281 consid. 2.1 et 2.1.1 ; 130 V 396 consid. 5.3 et 6).</w:t>
      </w:r>
    </w:p>
    <w:p>
      <w:r>
        <w:rPr>
          <w:b/>
        </w:rPr>
        <w:t>E. 10.2</w:t>
      </w:r>
    </w:p>
    <w:p>
      <w:r>
        <w:t>Dans l’ATF 141 V 281 , le Tribunal fédéral a revu et modifié en profondeur le schéma d'évaluation de la capacité de travail, respectivement de l'incapacité de travail, en cas de syndrome douloureux somatoforme et d'affections psychosomatiques comparables. Il a notamment abandonné la présomption selon laquelle les troubles somatoformes douloureux ou leurs effets pouvaient être surmontés par un effort de volonté raisonnablement exigible (ATF 141 V 281 consid. 3.4 et 3.5) et introduit un nouveau schéma d'évaluation au moyen d'un catalogue d'indicateurs (ATF 141 V 281 consid. 4). Le Tribunal fédéral a ensuite étendu ce nouveau schéma d'évaluation aux autres affections psychiques (ATF 143 V 418 consid. 6 et 7 et les références). Aussi, le caractère invalidant d'atteintes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9C_369/2019 du 17 mars 2020 consid. 3 et les références).![endif]&gt;![if&gt; Le Tribunal fédéral a en revanche maintenu, voire renforcé la portée des motifs d'exclusion définis dans l'ATF 131 V 49 , aux termes desquels il y a lieu de conclure à l'absence d'une atteinte à la santé ouvrant le droit aux prestations d'assurance, si les limitations liées à l'exercice d'une activité résultent d'une exagération des symptômes ou d'une constellation semblable, et ce même si les caractéristiques d'un trouble au sens de la classification sont réalisées. Des indices d'une telle exagération apparaissent notamment en cas de discordance entre les douleurs décrites et le comportement observé, l'allégation d'intenses douleurs dont les caractéristiques demeurent vagues, l'absence de demande de soins, de grandes divergences entre les informations fournies par le patient et celles ressortant de l'anamnèse, le fait que des plaintes très démonstratives laissent insensible l'expert, ainsi que l'allégation de lourds handicaps malgré un environnement psycho-social intact (ATF 141 V 281 consid. 2.2.1 et 2.2.2 ; 132 V 65 consid. 4.2.2 ; arrêt du Tribunal fédéral 9C_16/2016 du 14 juin 2016 consid. 3.2).</w:t>
      </w:r>
    </w:p>
    <w:p>
      <w:r>
        <w:rPr>
          <w:b/>
        </w:rPr>
        <w:t>E. 10.3</w:t>
      </w:r>
    </w:p>
    <w:p>
      <w:r>
        <w:t>L'organe chargé de l'application du droit doit, avant de procéder à l'examen des indicateurs, analyser si les troubles psychiques dûment diagnostiqués conduisent à la constatation d'une atteinte à la santé importante et pertinente en droit de l'assurance-invalidité, c'est-à-dire qui résiste aux motifs dits d'exclusion tels qu'une exagération ou d'autres manifestations d'un profit secondaire tiré de la maladie (cf. ATF 141 V 281 consid. 2.2 ; arrêt du Tribunal fédéral 9C_756/2018 du 17 avril 2019 5.2.2 et la référence).![endif]&gt;![if&gt;</w:t>
      </w:r>
    </w:p>
    <w:p>
      <w:r>
        <w:rPr>
          <w:b/>
        </w:rPr>
        <w:t>E. 10.4</w:t>
      </w:r>
    </w:p>
    <w:p>
      <w:r>
        <w:t>Pour des motifs de proportionnalité, on peut renoncer à une appréciation selon la grille d’évaluation normative et structurée si elle n’est pas nécessaire ou si elle est inappropriée. Il en va ainsi notamment lorsqu’il n’existe aucun indice en faveur d’une incapacité de travail durable ou lorsque l’incapacité de travail est niée sous l’angle psychique sur la base d’un rapport probant établi par un médecin spécialisé et que d’éventuelles appréciations contraires n’ont pas de valeur probante du fait qu’elles proviennent de médecins n’ayant pas une qualification spécialisée ou pour d’autres raisons (arrêt du Tribunal fédéral 9C_101/2019 du 12 juillet 2019 consid. 4.3 et la référence ; arrêt du Tribunal fédéral 9C_724/2018 du 11 juillet 2019 consid. 7). En l’absence d’un diagnostic psychiatrique, une telle appréciation n’a pas non plus à être effectuée (arrêt du Tribunal fédéral 9C_176/2018 du 16 août 2018 consid. 3.2.2).![endif]&gt;![if&gt;</w:t>
      </w:r>
    </w:p>
    <w:p>
      <w:r>
        <w:rPr>
          <w:b/>
        </w:rPr>
        <w:t>E. 11</w:t>
      </w:r>
    </w:p>
    <w:p>
      <w:r>
        <w:t>Selon la jurisprudence, en cas de troubles psychiques, la capacité de travail réellement exigible doit être évaluée dans le cadre d'une procédure d'établissement des faits structurée et sans résultat prédéfini, permettant d'évaluer globalement, sur une base individuelle, les capacités fonctionnelles effectives de la personne concernée, en tenant compte, d'une part, des facteurs contraignants extérieurs incapacitants et, d'autre part, des potentiels de compensation (ressources) (ATF 141 V 281 consid. 3.6 et 4). L'accent doit ainsi être mis sur les ressources qui peuvent compenser le poids de la douleur et favoriser la capacité d'exécuter une tâche ou une action (arrêt du Tribunal fédéral 9C_111/2016 du 19 juillet 2016 consid. 7 et la référence). ![endif]&gt;![if&gt; Il y a lieu de se fonder sur une grille d’analyse comportant divers indicateurs qui rassemblent les éléments essentiels propres aux troubles de nature psychosomatique (ATF 141 V 281 consid. 4). -     Catégorie « Degré de gravité fonctionnel » (ATF 141 V 281 consid. 4.3)![endif]&gt;![if&gt; A.           Complexe « Atteinte à la santé » (consid. 4.3.1)![endif]&gt;![if&gt; Expression des éléments pertinents pour le diagnostic (consid. 4.3.1.1), succès du traitement et de la réadaptation ou résistance à cet égard (consid. 4.3.1.2), comorbidités (consid. 4.3.1.3). B.           Complexe « Personnalité » (diagnostic de la personnalité, ressources personnelles ; consid. 4.3.2) ![endif]&gt;![if&gt; C.           Complexe « Contexte social » (consid. 4.3.3)![endif]&gt;![if&gt; -     Catégorie « Cohérence » (aspects du comportement ; consid. 4.4) ![endif]&gt;![if&gt; Limitation uniforme du niveau d'activité dans tous les domaines comparables de la vie (consid. 4.4.1), poids des souffrances révélé par l'anamnèse établie en vue du traitement et de la réadaptation (consid. 4.4.2). Les indicateurs appartenant à la catégorie « degré de gravité fonctionnel » forment le socle de base pour l’évaluation des troubles psychiques (ATF 141 V 281 consid. 4.3 ; arrêt du Tribunal fédéral 9C_618/2019 du 16 mars 2020 consid. 8.2).</w:t>
      </w:r>
    </w:p>
    <w:p>
      <w:r>
        <w:rPr>
          <w:b/>
        </w:rPr>
        <w:t>E. 12</w:t>
      </w:r>
    </w:p>
    <w:p>
      <w:r>
        <w:t>Selon la jurisprudence rendue jusque-là à propos des dépressions légères à moyennes, les maladies en question n'étaient considérées comme invalidantes que lorsqu'on pouvait apporter la preuve qu'elles étaient « résistantes à la thérapie » (ATF 140 V 193 consid 3.3 ; arrêts du Tribunal fédéral 9C_841/2016 du 8 février 2017 consid. 3.1 ; 9C_13/2016 du 14 avril 2016 consid. 4.2). ![endif]&gt;![if&gt; Dans l'ATF 143 V 409 consid. 4.2, le Tribunal fédéral a rappelé que le fait qu'une atteinte à la santé psychique puisse être influencée par un traitement ne suffit pas, à lui seul, pour nier le caractère invalidant de celle-ci ; la question déterminante est en effet celle de savoir si la limitation établie médicalement empêche, d'un point de vue objectif, la personne assurée d'effectuer une prestation de travail. À cet égard, toutes les affections psychiques doivent en principe faire l'objet d'une procédure probatoire structurée au sens de l'ATF 141 V 281 (ATF 143 V 418 consid. 6 et 7 et les références). Ainsi, le caractère invalidant des atteintes à la santé psychique doit être établi dans le cadre d'un examen global, en tenant compte de différents indicateurs, au sein desquels figurent notamment les limitations fonctionnelles et les ressources de la personne assurée, de même que le critère de la résistance du trouble psychique à un traitement conduit dans les règles de l'art (ATF 143 V 409 consid. 4.4 ; arrêt du Tribunal fédéral 9C_142/2018 du 24 avril 2018 consid. 5.2). Dans les cas où, au vu du dossier, il est vraisemblable qu'il n'y a qu'un léger trouble dépressif, qui ne peut déjà être considéré comme chronifié et qui n'est pas non plus associé à des comorbidités, aucune procédure de preuve structurée n'est généralement requise (arrêt du Tribunal fédéral 9C_14/2018 du 12 mars 2018 consid 2.1).</w:t>
      </w:r>
    </w:p>
    <w:p>
      <w:r>
        <w:rPr>
          <w:b/>
        </w:rPr>
        <w:t>E. 13</w:t>
      </w:r>
    </w:p>
    <w:p>
      <w:r>
        <w:t>![endif]&gt;![if&gt;</w:t>
      </w:r>
    </w:p>
    <w:p>
      <w:r>
        <w:rPr>
          <w:b/>
        </w:rPr>
        <w:t>E. 13.1</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références).![endif]&gt;![if&gt;</w:t>
      </w:r>
    </w:p>
    <w:p>
      <w:r>
        <w:rPr>
          <w:b/>
        </w:rPr>
        <w:t>E. 13.2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3).![endif]&gt;![if&gt; Sans remettre en cause le principe de la libre appréciation des preuves, le Tribunal fédéral a posé des lignes directrices en ce qui concerne la manière d'apprécier certains types d'expertises ou de rapports médicaux.</w:t>
      </w:r>
    </w:p>
    <w:p>
      <w:r>
        <w:rPr>
          <w:b/>
        </w:rPr>
        <w:t>E. 13.3</w:t>
      </w:r>
    </w:p>
    <w:p>
      <w:r>
        <w:t>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135 V 465 consid. 4.4 et 4.6 ; arrêt du Tribunal fédéral 9C_371/2018 du 16 août 2018 consid. 4.3.1). ![endif]&gt;![if&gt;</w:t>
      </w:r>
    </w:p>
    <w:p>
      <w:r>
        <w:rPr>
          <w:b/>
        </w:rPr>
        <w:t>E. 13.4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3.2.1).![endif]&gt;![if&gt;</w:t>
      </w:r>
    </w:p>
    <w:p>
      <w:r>
        <w:rPr>
          <w:b/>
        </w:rPr>
        <w:t>E. 14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3).![endif]&gt;![if&gt;</w:t>
      </w:r>
    </w:p>
    <w:p>
      <w:r>
        <w:rPr>
          <w:b/>
        </w:rPr>
        <w:t>E. 15</w:t>
      </w:r>
    </w:p>
    <w:p>
      <w:r>
        <w:t>En l'espèce, après avoir récolté de nouveaux éléments médicaux à la suite de l'arrêt de renvoi de la chambre de céans du 21 septembre 2021, l'intimé, sur la base de l'avis du SMR du 14 juin 2022, a maintenu ses conclusions selon lesquelles la capacité de travail de la recourante était nulle dans son activité habituelle dès le 7 avril 2016 et de 70% dans une activité adaptée à ses limitations fonctionnelles dès cette même date, et admis une nouvelle période d'incapacité totale de travail entre le 8 octobre 2021 et le 2 janvier 2022, en raison des hospitalisations pour cause d'atteintes digestives.![endif]&gt;![if&gt;</w:t>
      </w:r>
    </w:p>
    <w:p>
      <w:r>
        <w:rPr>
          <w:b/>
        </w:rPr>
        <w:t>E. 15.1</w:t>
      </w:r>
    </w:p>
    <w:p>
      <w:r>
        <w:t>Concernant l'aspect psychiatrique, le SMR a estimé, dans son avis du 14 juin 2022, que les éléments médicaux recueillis ne permettaient pas de conclure à une aggravation durable de l'état de santé de la recourante depuis la dernière décision. Il a en particulier retenu que le Dr L______ n'avait pas revu personnellement la recourante depuis mars 2021, qu'il ne mettait en avant aucune restriction sur le plan psychiatrique dans son rapport du 9 février 2022, que le moral de la recourante était meilleur à l'issue de la consultation spécialisée en psychiatrie de 2021, que le traitement n'avait pas été adapté et ne contenait pas de psychotrope (le Cymbalta étant prescrit à visée antalgique), et que la recourante conserverait des ressources.![endif]&gt;![if&gt; Ce faisant, le SMR semble être parti d'un paradigme erroné : alors que l'arrêt du 21 septembre 2021 requérait que l'intimé instruise le cas sous l'angle psychiatrique car une telle instruction avait fait défaut avant le prononcé de la première décision du 16 juin 2020, le SMR semble avoir considéré que seule une aggravation de l'état psychique de la recourante depuis cette décision pouvait justifier une incapacité de travail. Par ailleurs, contrairement à ce qu'affirme le SMR sur la base d'une phrase décontextualisée (en réalité afférente à la compliance thérapeutique), il ne ressort pas du rapport du 9 février 2022 du Dr L______ que la recourante ne subirait aucune restriction sur le plan psychiatrique. Le diagnostic de trouble organique de l'humeur (F06.3) a en effet été posé et, s'agissant du status psychiatrique, le psychiatre a relevé des troubles du sommeil, de l'appétit et des fonctions cognitives ; la recourante manifestait par ailleurs de l'anxiété, un épuisement, des idées noires et une détresse psychologique importante en lien avec ses problèmes de santé récurrents. Les symptômes mixtes dépressifs/anxieux impactaient son quotidien et sa disponibilité, tant physique que psychique, au travail et dans ses relations sociales. Certes, le Dr L______ ne s'est pas prononcé quant à la capacité de travail de la recourante, mentionnant que cet aspect était trop fluctuant, et l'évaluation psychiatrique du 6 décembre 2021 ne renseigne pas non plus sur cette question. La recourante semble par ailleurs avoir conservé certaines ressources, tant sur le plan personnel que professionnel, notamment grâce à un réseau familial soutenant. Néanmoins, à défaut d'un motif d'exclusion présent (aucune exagération des symptômes n'est relevée ni d'autres manifestations d'un profit secondaire tiré de la maladie) et en l'absence d'indices que le trouble dépressif ne serait que léger, non chronifié et non associé à des comorbidités – les évaluations psychiatriques au dossier faisant au contraire état du caractère récurent du trouble dépressif –, l'intimé se devait d'instruire plus avant le cas sous l'angle psychiatrique afin de déterminer si, et dans quelle mesure, celui-ci impactait la capacité de travail de la recourante. Une instruction plus précise sous l'angle psychiatrique paraît d'autant plus nécessaire que la Dre R______ a, pour sa part, retenu le diagnostic d'épisode dépressif récurrent, épisode actuel sévère (F33.2) et qu'elle évalue la capacité de travail de la recourante dans une activité adaptée à 50%. S'il est difficile, à la lecture du rapport de la psychiatre précitée, de savoir quelle a été l'évolution de la capacité de travail de la recourante dans le temps et de déterminer depuis quand le diagnostic posé est pertinent – de sorte que la question de la recevabilité de cette pièce au vu du prononcé de la décision le 17 octobre 2022 peut rester ouverte –, ce rapport constitue un élément supplémentaire permettant de remettre en cause le caractère sérieux et complet de l'instruction menée par l'intimé. Du reste, les appréciations psychiatriques au dossier ne donnent pas suffisamment de renseignements pour juger si les différents indicateurs développés par la jurisprudence permettant d'évaluer l'impact incapacitant des troubles psychiques sont, ou non, remplis. En définitive, alors que, par le biais de son arrêt du 21 septembre 2021, la chambre de céans avait renvoyé la cause à l'intimé pour instruction complémentaire sur le plan psychiatrique, les éléments médicaux recueillis à l'occasion de ce renvoi ne donnent pas d'indications plus précises que celles émanant déjà du rapport du 9 juillet 2020 du Dr L______ et de Madame M______. La situation psychique de la recourante n'a ainsi pas été élucidée à satisfaction par l'intimé.</w:t>
      </w:r>
    </w:p>
    <w:p>
      <w:r>
        <w:rPr>
          <w:b/>
        </w:rPr>
        <w:t>E. 15.2</w:t>
      </w:r>
    </w:p>
    <w:p>
      <w:r>
        <w:t>S'agissant des aspects somatiques, dans son avis du 14 juin 2022, le SMR retient que le Dr I______ atteste toujours d'une incapacité de travail de 50% sur le plan rhumatologique, que les atteintes digestives n'ont causé qu'une incapacité de travail limitée dans le temps de moins de trois mois, et, sur le plan orthopédique, que la fracture de la cheville a décompensé les lombalgies et justifié une majoration du traitement antalgique.![endif]&gt;![if&gt; Quant au rapport d'IRM de l'épaule gauche du 6 octobre 2022, le SMR admet, dans son avis du 1 er décembre 2022, qu'il met en évidence une nouvelle atteinte, mais estime qu'elle est postérieure à la décision attaquée. De plus, à défaut de description clinique ou d'énonciation des limitations articulaires, les limitations fonctionnelles seraient les mêmes que celles liées à l'épargne cervicale, restreignant déjà l'utilisation des mains au-dessus de l'horizontale et le port de charges de plus de 5kg. S'agissant de l'atteinte à l'épaule gauche, il sied tout d'abord de constater que l'IRM a été réalisée le 6 octobre 2022, soit antérieurement au prononcé de la décision litigieuse. Dans cette mesure, contrairement à ce qu'affirme le SMR, les troubles dégénératifs qui y sont mentionnés doivent être pris en considération dans le cas d'espèce. De plus, s'il est certes possible, sur le principe, que les limitations fonctionnelles induites par cette atteinte puissent se recouper avec celles liées aux atteintes cervicales, il sied de constater, en l'occurrence, que ni le Dr H______, ni le SMR dans ses avis antérieurs, n'avaient retenu que les atteintes au rachis limitaient l'utilisation des mains au-dessus de l'horizontale. Ainsi, un tel empêchement constitue bien plutôt une nouvelle limitation fonctionnelle. Quand bien même cette limitation fonctionnelle ne serait pas strictement nouvelle ou serait respectée dans l'activité de secrétaire médicale jugée adaptée aux troubles du rachis, il ne serait pas suffisant d'affirmer, sans évaluation clinique, qu'elle se recouperait entièrement avec les précédentes limitations et n'aurait aucun impact sur la capacité de travail. Le cumul de diverses pathologies, même entraînant des limitations fonctionnelles identiques ou proches, pourrait en effet le cas échéant avoir comme incidence une résistance plus faible de la personne touchée et entraver son rendement, voire son taux de capacité de travail. Par ailleurs, le Dr I______ a attesté, dans ses nouveaux rapports des 19 décembre 2021 et 16 février 2022, que la recourante disposait d'une capacité de travail de 50% dans une activité adaptée, alors qu'il avait précédemment attesté d'une capacité de travail d'au maximum 50% en plus du 20% que la recourante exerçait (cf. avis du 8 août 2019). Le rhumatologue traitant semble ainsi avoir revu à la baisse l'évaluation de la capacité de travail de la recourante, dans un contexte de troubles du rachis qui devaient déjà, selon le Dr H______, s'aggraver à long terme et qui ont, selon le SMR, été décompensés par la fracture de la cheville. Cependant, l'absence de nouveau diagnostic posé par le Dr I______ et de suivi rhumatologique à sa consultation postérieurement à décembre 2020, ainsi que l'évaluation sommaire de la capacité de travail de la recourante par ce médecin, ne permettent pas, à ce stade, de retenir que l'appréciation du Dr H______ – jugée probante par la chambre de céans dans son arrêt du 21 septembre 2021 – ne serait plus d'actualité, ni que les atteintes au rachis auraient évolué depuis l'examen réalisé par l'expert, dans une mesure susceptible d'influencer la capacité de travail de la recourante. Ce point devait au contraire faire l'objet d'autres mesures d'instruction. Ainsi, sur le plan rhumatologique également, la cause n'a pas suffisamment été instruite par l'intimé (quant à son évolution après la décision du 16 juin 2020 et, surtout, après l'arrêt du 21 septembre 2021). En particulier, postérieurement à cet arrêt, l'OAI a fait une lecture erronée des rapports du Dr I______ et a omis de prendre en considération les troubles de l'épaule gauche. Compte tenu des éléments actuellement au dossier, rien ne permet par contre en l'état de retenir que les problèmes digestifs rencontrés par la recourante en 2021 auraient un impact durable sur sa capacité de travail. À teneur des pièces transmises – essentiellement des lettres de sortie des HUG – il n'apparaît pas, comme le relève le SMR, que les atteintes aient engendré une incapacité de travail de plus de trois mois. Il en va de même d'éventuelles atteintes pneumologiques, à peine évoquées dans le courriel de la recourante du 27 juillet 2022, et sous-tendues par aucun avis médical. Dans son précédent arrêt, la chambre de céans avait au demeurant jugé que les troubles intestinaux de 2019 n'avaient pas engendré d'incapacité de travail de longue durée et estimé que l'atteinte des nerfs médians aux carpes ne constituait pas une atteinte durable à la santé ; à défaut de nouveaux éléments médicaux, il n'y a pas lieu de revenir sur cette appréciation.</w:t>
      </w:r>
    </w:p>
    <w:p>
      <w:r>
        <w:rPr>
          <w:b/>
        </w:rPr>
        <w:t>E. 15.3</w:t>
      </w:r>
    </w:p>
    <w:p>
      <w:r>
        <w:t>Au vu de ce qui précède, compte tenu de l'instruction lacunaire menée par l'intimé sur le plan psychiatrique et somatique, il est nécessaire de lui renvoyer le dossier afin qu'il la complète (en prenant en compte l'évolution jusqu'au prononcé de la nouvelle décision qui sera rendue) et, en particulier, qu'il mette en œuvre une expertise bidisciplinaire psychiatrique et rhumatologique de la recourante, au sens des art. 44 LPGA et 72 bis RAI, qui devra porter, sous l'angle psychiatrique, sur l'évolution de l'état de santé dès l'annonce des premiers troubles psychiques, soit dès 2020 à tout le moins, et, sous l'angle somatique, sur l'évolution depuis l'expertise de février 2019 du Dr H______. Il ne se justifie pas, à ce stade, d'ordonner la réalisation d'une expertise judiciaire, les questions des atteintes psychiatrique et rhumatologiques (évolution des troubles du rachis, atteinte à l'épaule gauche) n'ayant pas été investiguées à satisfaction par l'intimé. La mise en œuvre d'une expertise bidisciplinaire permettra par ailleurs aux experts de procéder à une évaluation consensuelle du cas, examen qui paraît particulièrement indiqué en l'occurrence, les troubles psychiques anxio-dépressifs étant décrits comme variables et réactionnels aux difficultés somatiques. ![endif]&gt;![if&gt;</w:t>
      </w:r>
    </w:p>
    <w:p>
      <w:r>
        <w:rPr>
          <w:b/>
        </w:rPr>
        <w:t>E. 16</w:t>
      </w:r>
    </w:p>
    <w:p>
      <w:r>
        <w:t>À toutes fins utiles, la chambre de céans relève par ailleurs que l'intimé devra à nouveau déterminer le degré d'invalidité de la recourante à l'issue de la nouvelle instruction, compte tenu en particulier du fait que l'évaluation de la perte de gain d'un assuré doit être faite en prenant en considération les dernières données statistiques existantes (cf. ATF 143 V 295 consid. 4 ; arrêt du Tribunal fédéral 8C_655/2016 du 4 août 2017 consid. 6.3). Or, en l'espèce, dans son calcul du 7 septembre 2022, l'intimé a appliqué les données de l'Enquête suisse sur la structure des salaires (ESS) de l'année 2018, alors que celles de 2020 ont été publiées le 23 août 2022. S'agissant en particulier du salaire statistique pris en considération par l'intimé, une baisse des revenus est constatée (le salaire mensuel des femmes étant passé de CHF 4'371.- pour l'année 2018 à CHF 4'276.- pour l'année 2020, pour des tâches physiques ou manuelles simples [catégorie 1], tableau TA1 tirage skill level ).![endif]&gt;![if&gt; De plus, l'intimé est invité à vérifier le revenu sans invalidité de la recourante pris en considération. Dans les rapports employeurs, est en effet mentionné un salaire annuel de CHF 37'500.- auprès du Dr B______ et de CHF 31'824.- auprès du Cabinet Dentaire D______, sans atteinte à la santé dans l'ancienne activité. L'intimé retient pour sa part un revenu sans invalidité de CHF 50'066.-, étant relevé que le revenu annuel déterminant pris en compte pour le calcul des indemnités journalières durant les mesures d'ordre professionnel s'élevait à CHF 67'643.-. Enfin, la chambre de céans relève que la détermination du statut de la recourante devra également être clarifiée. S'il est établi que cette dernière travaillait depuis de nombreuses années à 50% auprès du Dr B______, l'évolution de son taux de travail auprès du Dr C______ (puis du Cabinet Dentaire D______) n'est pas claire au regard du rapport employeur du 25 novembre 2016. Dans sa note de statut du 5 août 2019, l'intimé retient un taux de salariée de 70% (50% auprès du Dr B______ et 20% auprès du Dr C______), alors qu'il est mentionné que le taux auprès de ce second médecin a été réduit vraisemblablement pour cause de maladie. Dans la note de travail du 30 octobre 2017, il est au surplus indiqué que la recourante travaillait à 50% pour le Dr B______ et 40% pour le Dr C______, avant de diminuer son taux à 19% lors de la modification de ses tâches (passage d'un poste d'assistante au fauteuil à un poste administratif en raison des problèmes de santé).</w:t>
      </w:r>
    </w:p>
    <w:p>
      <w:r>
        <w:rPr>
          <w:b/>
        </w:rPr>
        <w:t>E. 17</w:t>
      </w:r>
    </w:p>
    <w:p>
      <w:r>
        <w:t>Au vu de ce qui précède, le recours sera partiellement admis, la décision du 17 octobre 2022 sera annulée et la cause renvoyée à l'intimé pour instruction complémentaire dans le sens des considérants et nouvelle décision.![endif]&gt;![if&gt; La recourante obtenant partiellement gain de cause, une indemnité de CHF 1'500.- lui sera accordée à titre de participation à ses frais et dépens (art. 61 let. g LPGA ; art. 6 du règlement sur les frais, émoluments et indemnités en matière administrative du 30 juillet 1986 [RFPA - E 5 10.03]). L'intimé sera condamné au paiement d'un émolument de CHF 400.- (art. 69 al. 1 bis LAI).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