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A/3867/2014 vom 17. März 2015</w:t>
      </w:r>
    </w:p>
    <w:p>
      <w:r>
        <w:t>GE Cour de justice, 2015-03-17, FR</w:t>
      </w:r>
    </w:p>
    <w:p>
      <w:r>
        <w:rPr>
          <w:b/>
        </w:rPr>
        <w:t xml:space="preserve">Quelle: </w:t>
      </w:r>
      <w:r>
        <w:t>https://mcp.opencaselaw.ch/entscheid/ge_gerichte_A_3867_2014</w:t>
      </w:r>
    </w:p>
    <w:p>
      <w:r>
        <w:t>FR: GE_GERICHTE A/3867/2014 du 17 mars 2015</w:t>
      </w:r>
    </w:p>
    <w:p>
      <w:r>
        <w:t>IT: GE_GERICHTE A/3867/2014 del 17 marzo 2015</w:t>
      </w:r>
    </w:p>
    <w:p>
      <w:pPr>
        <w:pStyle w:val="Heading2"/>
      </w:pPr>
      <w:r>
        <w:t>Erwägungen</w:t>
      </w:r>
    </w:p>
    <w:p>
      <w:r>
        <w:rPr>
          <w:b/>
        </w:rPr>
        <w:t>E. 2</w:t>
      </w:r>
    </w:p>
    <w:p>
      <w:r>
        <w:t>ème section dans la cause Monsieur A______ contre PRISON DE CHAMP-DOLLON EN FAIT 1) Par décision du 26 novembre 2014, déclarée exécutoire nonobstant recours, la direction de la prison de Champ-Dollon a ordonné le placement en cellule forte pour une durée de deux jours de Monsieur A______, détenu dans cet établissement, en raison d’un refus d’obtempérer. ![endif]&gt;![if&gt; 2) Par acte du 14 décembre 2014, complété le 20 décembre 2014, M. A______ a recouru auprès de la Chambre administrative de la Cour de justice (ci-après : la chambre administrative) contre la décision susmentionnée, contestant son bien-fondé.![endif]&gt;![if&gt; Il avait obtenu une autorisation de téléphoner et s’était présenté pour ce faire le jour fixé, soit le 26 novembre 2014. Toutefois, l’opérateur, à l’instigation d’un fonctionnaire « haut placé » de la prison, avait fait en sorte que la communication ne puisse pas être établie et l’avait contraint par la force à libérer la place, au motif que son temps d’usage était écoulé. Peu après, il s’était retrouvé en cellule forte pour deux jours. 3) Dans ses observations du 15 janvier 2015, le directeur de la prison a conclu au rejet du recours. ![endif]&gt;![if&gt; M. A______ avait obtenu une confirmation de rendez-vous pour un entretien téléphonique le 26 novembre 2014 à 8h00. Il avait été conduit au local téléphone. Il avait demandé au gardien présent de composer un numéro qui ne figurait pas sur la liste des téléphones autorisés par l’autorité compétente. À force d’explications, M. A______ avait fini par comprendre que le personnel de surveillance ne pouvait pas composer ce numéro. L’intéressé avait alors demandé à composer un autre numéro, autorisé. L’opérateur avait composé sans succès ce numéro à plusieurs reprises. Après un quart d’heure, le personnel de surveillance avait demandé à M. A______ de libérer le local téléphone, pour permettre à d’autres détenus d’y accéder. L’intéressé ne s’était pas conformé à cette injonction et il avait dû être poussé hors du local. Il avait fallu élever le ton pour qu’il accepte de retourner dans sa cellule. Ce refus d’obtempérer avait été sanctionné par deux jours de cellule forte. Il avait en effet enfreint le règlement sur le régime intérieur de la prison et le statut des personnes incarcérées du 30 septembre 1985 (RRIP - F 1 50.04) en n’observant pas les instructions données et en obligeant le personnel de surveillance à intervenir de manière contraignante. La mesure ordonnée était justifiée et respectait le principe de la proportionnalité. 4) Le 5 février 2015, M. A______ a exercé son droit à la réplique, faisant état d’autres incidents le mettant aux prises avec des gardiens.![endif]&gt;![if&gt; 5) Le 19 février 2015, les parties ont été informées que la cause était gardée à juger. ![endif]&gt;![if&gt;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ATA/183/2013 du 19 mars 2013 et la jurisprudence citée), dès lors qu'il ne ressort pas du dossier qu'il aurait quitté la prison à ce jour. Le recours est donc recevable à tous points de vue. 3) Le recourant se plaint de ce que son placement pour deux jours en cellule forte serait contraire au droit, dès lors qu'il n'aurait ni injurié, ni menacé les gardiens. ![endif]&gt;![if&gt;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5) 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 6) De jurisprudence constante, la chambre de céans accorde généralement valeur probante aux constatations figurant dans un rapport de police, établi par des agents assermentés ( ATA/99/2014 du 18 février 2014 consid. 5b et les références citées), sauf si des éléments permettent de s’en écarter. Dès lors que les agents de détention sont également des fonctionnaires assermentés (art. 7 LOPP), le même raisonnement peut être appliqué aux rapports établis par ces derniers.![endif]&gt;![if&gt; 7) En l’espèce, le recourant admet avoir dû être contraint à sortir du local téléphone, donc de n’avoir pas obtempéré à l’injonction de le quitter qui lui avait été faite par le personnel de surveillance. En adoptant un tel comportement, il a non seulement refusé de donner suite à un ordre donné par l’autorité compétente mais il a également menacé le bon déroulement du programme d’accès au téléphone pour d’autres détenus, ce qui était de nature à troubler l’ordre de la prison. C’est dès lors à juste titre que la direction de la prison a prononcé la sanction litigieuse, qui respecte le principe de la proportionnalité au vu des circonstances du cas d’espèce. ![endif]&gt;![if&gt; 8) Compte tenu de ce qui précède, le recours sera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