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A/3866/2007 vom 1. November 2007</w:t>
      </w:r>
    </w:p>
    <w:p>
      <w:r>
        <w:t>GE Cour de justice, 2007-11-01, FR</w:t>
      </w:r>
    </w:p>
    <w:p>
      <w:r>
        <w:rPr>
          <w:b/>
        </w:rPr>
        <w:t xml:space="preserve">Quelle: </w:t>
      </w:r>
      <w:r>
        <w:t>https://mcp.opencaselaw.ch/entscheid/ge_gerichte_A_3866_2007</w:t>
      </w:r>
    </w:p>
    <w:p>
      <w:r>
        <w:t>FR: GE_GERICHTE A/3866/2007 du 1 novembre 2007</w:t>
      </w:r>
    </w:p>
    <w:p>
      <w:r>
        <w:t>IT: GE_GERICHTE A/3866/2007 del 1 novembre 2007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01.11.2007 A/3866/2007</w:t>
      </w:r>
    </w:p>
    <w:p>
      <w:r>
        <w:t>A/3866/2007 ATAS/1195/2007 du 01.11.2007 ( AI ) , SANS OBJET RÉPUBLIQUE ET CANTON DE GENÈVE POUVOIR JUDICIAIRE A/3866/2007 ATAS/1195/2007 ARRET DU TRIBUNAL CANTONAL DES ASSURANCES SOCIALES Chambre 3 du 1 er novembre 2007 En la cause Monsieur P___________, domicilié , VERSOIX recourant contre OFFICE CANTONAL DE L'ASSURANCE INVALIDITE, rue de Lyon 97, case postale 425, GENEVE intimé Vu la décision de l'Office cantonal de l'assurance-invalidité (OCAI) du 29 août 2007 supprimant à Monsieur P___________ sa rente d'invalidité avec effet au premier jour du deuxième mois suivant la notification de la décision; Vu le courrier adressé par l'assuré à l'OCAI le 9 octobre 2007 dans lequel il demande à ce dernier de bien vouloir réexaminer sa décision; Vu le transfert dudit courrier par l'OCAI au Tribunal de céans comme objet de sa compétence; Vu le courrier de l'assuré du 23 octobre 2007 dans lequel ce dernier confirme que son intention était bien de demander le réexamen par l'OCAI de sa situation et non d'interjeter recours; Qu'il convient d'en prendre acte et de rayer la cause du rôle. PAR CES MOTIFS, LE TRIBUNAL CANTONAL DES ASSURANCES SOCIALES : Constate que le courrier du 9 octobre 2007 ne constitue pas un recours mais bien une demande de réexamen. Renvoie la cause à l'OCAI comme objet de sa compétence. Dit que la procédure est gratuite. Raye la cause du rôle. La greffière Janine BOFFI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