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A/3863/2020 vom 3. November 2022</w:t>
      </w:r>
    </w:p>
    <w:p>
      <w:r>
        <w:t>GE Cour de justice, 2022-11-03, FR</w:t>
      </w:r>
    </w:p>
    <w:p>
      <w:r>
        <w:rPr>
          <w:b/>
        </w:rPr>
        <w:t xml:space="preserve">Quelle: </w:t>
      </w:r>
      <w:r>
        <w:t>https://mcp.opencaselaw.ch/entscheid/ge_gerichte_A_3863_2020</w:t>
      </w:r>
    </w:p>
    <w:p>
      <w:r>
        <w:t>FR: GE_GERICHTE A/3863/2020 du 3 novembre 2022</w:t>
      </w:r>
    </w:p>
    <w:p>
      <w:r>
        <w:t>IT: GE_GERICHTE A/3863/2020 del 3 novembre 2022</w:t>
      </w:r>
    </w:p>
    <w:p>
      <w:pPr>
        <w:pStyle w:val="Heading2"/>
      </w:pPr>
      <w:r>
        <w:t>Regeste</w:t>
      </w:r>
    </w:p>
    <w:p>
      <w:r>
        <w:t>ANTENNE;ESTHÉTIQUE | LCI.15</w:t>
      </w:r>
    </w:p>
    <w:p>
      <w:pPr>
        <w:pStyle w:val="Heading2"/>
      </w:pPr>
      <w:r>
        <w:t>Erwägungen</w:t>
      </w:r>
    </w:p>
    <w:p>
      <w:r>
        <w:rPr>
          <w:b/>
        </w:rPr>
        <w:t>E. 1</w:t>
      </w:r>
    </w:p>
    <w:p>
      <w:r>
        <w:t>2,63 pour les groupes d’antennes qui émettent exclusivement dans la gamme de fréquence autour de 900 MHz ou dans des gammes de fréquence plus basses,</w:t>
      </w:r>
    </w:p>
    <w:p>
      <w:r>
        <w:rPr>
          <w:b/>
        </w:rPr>
        <w:t>E. 2</w:t>
      </w:r>
    </w:p>
    <w:p>
      <w:r>
        <w:t>1,76 pour les groupes d’antennes qui émettent exclusivement dans la gamme de fréquence autour de 1800 MHz ou dans des gammes de fréquence plus élevées,</w:t>
      </w:r>
    </w:p>
    <w:p>
      <w:r>
        <w:rPr>
          <w:b/>
        </w:rPr>
        <w:t>E. 3</w:t>
      </w:r>
    </w:p>
    <w:p>
      <w:r>
        <w:t>2,10 pour tous les autres groupes d’antennes; b. ERP 90 : ERP cumulée, exprimée en W, émise par les antennes d’un groupe d’antennes dans un secteur azimutal de 90° dans le mode d’exploitation déterminant; le secteur azimutal déterminant est celui dans lequel est émise l’ERP cumulée la plus élevée. Selon l'al. 5, par modification d’une installation, on entend: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des directions d’émission au-delà du domaine angulaire autorisé. L’application d’un facteur de correction aux antennes émettrices adaptatives existantes en vertu du ch. 63, al. 2, n’est pas considérée comme une modification d’une installation (annexe 1 ch. 62 al. 5bis ORNI). Par antennes émettrices adaptatives, on entend les antennes émettrices exploitées de sorte que leur direction d’émission ou leur diagramme d’antenne est adapté automatiquement selon une périodicité rapprochée (annexe 1 ch. 62 al. 6 ORNI). L'annexe 1 ch. 63 ORNI prévoit que par mode d’exploitation déterminant, on entend le mode d’exploitation dans lequel un maximum de conversations et de données est transféré, l’émetteur étant au maximum de sa puissance (al. 1). S’agissant des antennes émettrices adaptatives qui possèdent au moins huit sous-ensembles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(al. 2). 6.             Selon l'annexe 1 ch. 63 al. 3 ORNI, les facteurs de correction KAA suivants s’appliquent:![endif]&gt;![if&gt; Nombre de sub arrays Facteur de correction K AA 64 et plus 0,10 32 à 63 0,13 16 à 31 0,20</w:t>
      </w:r>
    </w:p>
    <w:p>
      <w:r>
        <w:rPr>
          <w:b/>
        </w:rPr>
        <w:t>E. 8</w:t>
      </w:r>
    </w:p>
    <w:p>
      <w:r>
        <w:t>à 15 0,40 Si un facteur de correction K AA est appliqué aux antennes émettrices adaptatives existantes, le détenteur de l’installation remet à l’autorité compétente une fiche de données spécifique au site adaptée (l'annexe 1 ch. 63 al. 4 ORNI). L'annexe 1 ch. 64 ORNI prévoit que la valeur limite d'installation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 7.             Ainsi, les valeurs limites d'immission et d'installation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était dix fois plus strictes que celles recommandées par la Commission internationale de protection contre les rayonnements non ionisants (J. DRITTENBASS, op. cit., p. 138).![endif]&gt;![if&gt; 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valeurs limites de l'installation mentionnées plus haut (ch. 64 annexe 1 ORNI). Selon la jurisprudence du Tribunal fédéral, l'étendue de la limitation préventive des émissions selon l'art. 4 al. 1 ORNI est déterminée de manière exhaustive avec l'édiction des valeurs limites d'installation,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DRITTENBASS, op. cit., p. 141-142). 8.             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appropriées.![endif]&gt;![if&gt; Sur cette base, l'OFEV a publié le 23 février 2021 un document intitulé « Explications concernant les antennes adaptatives et leur évaluation selon l’ordonnance sur la protection contre le rayonnement non ionisant (ORNI) » (ci-après: explications OFEV - https://www.newsd.admin.ch/newsd/ message/attachments/65389.pdf; consulté le 22 septembre 2022). Il y est notamment fait état de deux études effectuées à l'étranger en 2019 et 2020 ainsi que de mesures et simulations réalisées par l'office fédéral de la communication durant l'été 2020 sur deux antennes adaptatives autorisées de deux opérateurs différents. L'OFEV retient en conclusion, sur la base des résultats de diverses études de simulation et de mesures réalisées entre 2017 et 2020, que « Les puissances d’émission moyennes des antennes adaptatives (avec différents nombres d’éléments d’antenne), calculées sur six minutes, se situent, selon le scénario, dans une plage comprise entre environ 1 % (0,01 ou -20 dB) et 50 % (0,5 ou -3 dB) de la puissance maximale théorique. L’éventail des résultats des études est très large. En ce qui concerne les antennes réseau 8×8, les puissances émettrices déterminées se situent généralement entre environ 10 % (0,1 ou -10 dB) et 32 % (0,32 ou -5 dB) de la puissance maximale théorique. Les études ont également montré que la différence entre la puissance d’émission maximale déterminée et la puissance d’émission maximale théorique dépend de la taille de l’antenne, c’est-à-dire du nombre d’unités d’antenne activables indépendamment (réseaux ou sub arrays). On a calculé, sur la base d’études portant sur différentes tailles d’antennes, un facteur de correction gradué pouvant être appliqué à la puissance d’émission maximale possible des antennes adaptatives » (Explications OFEV, p. 17 à 20). Egalement en date du 23 février 2021, l'OFEV a publié un rapport intitulé « Antennes adaptative – Complément à la recommandation d'exécution de l'ordonnance sur la protection contre le rayonnement non ionisant (ORNI) concernant les stations de base pour téléphonie mobile et raccordements sans fil (WLL) de l'OFEFP [actuellement : OFEV] de 2002 » (ci-après: le complément – https://www.newsd.admin.ch/ newsd/message/attachments/65394.pdf; consulté le 22 septembre 2022).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 9.             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apparente rayonnée (ERP ;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ORNI).![endif]&gt;![if&gt;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valeur limite de l'installation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 Il sied également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electrosmog/info-specialistes/mesures-contre-l-electrosmog/assurance-de-la-qualite-en-ce-qui-concerne-le-respect-des-valeur.html; consulté le 22 septembre 2022). Le Tribunal fédéral a reconnu le système d'assurance qualité comme un instrument de contrôle performant et n'a pas considéré nécessaire de recourir à un contrôle par des mesures de construction (arrêt du Tribunal fédéral 1C_282/2008 du 7 avril 2009 consid. 3.5). 10.         Au sujet des risques pour la santé, la jurisprudence du Tribunal fédéral retient que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228).![endif]&gt;![if&gt; 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(arrêts 1C_518/2018 du 14 avril 2020 consid. 5.1.1 ; 1C_348/2017 du 21 février 2018 consid. 4 ; 1C_118/2010 du 20 octobre 2010 consid. 4.2.3). Cela étant, vu la marge de manœuvre dont dispose le Conseil fédéral pour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en-dessous des valeurs limites de l'ORNI (Martin RÖÖSLI, Gesundheitsgefährdungsabschätzung: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 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 11.         S'agissant des développements les plus récents, le consortium de projet SwissNIS, sur mandat de l'OFEV, a rendu le 24 mai 2022 son premier rapport de monitoring sur les mesures d'exposition aux rayonnements non ionisants (https://www.newsd.admin.ch/newsd/message/ attachments/71991.pdf ; consulté le 22 septembre 2022). L'OFEV considère que « Les premiers résultats du rapport de monitoring montrent que la protection de la santé est garantie. Dans les lieux fréquentés de manière habituelle, les intensités de champ se situent clairement en-dessous de la valeur limite d'immission. Les valeurs les plus élevées ont été mesurées aux stations de tram, dans les zones industrielles et au centre des grandes villes, tandis que les valeurs les plus faibles ont été enregistrées dans les zones agricoles et dans les espaces naturels. Les mesures concernant les logements n'en sont qu'à leur début. Les mesures effectuées jusqu'à présent révèlent des valeurs d'exposition faibles, mais sont toutefois peu nombreuses. C'est pourquoi il n'est pas encore possible d'en tirer des conclusions générales » (https://www.bafu.admin.ch/bafu/fr/home/themes/electrosmog/communiques.msg-id-89276.html ; consulté le 22 septembre 2022).![endif]&gt;![if&gt; En outre, dans un arrêt 1C_339/2021 du 30 juin 2022, le Tribunal fédéral a confirmé sa jurisprudence confirmant l'application des Recommandations de mesures, OFEFP [éd.], 2002, selon lesquelles, si, selon le pronostic calculé, la valeur limite de l'installation est atteinte à 80 % dans un lieu à utilisation sensible, une mesure de réception de rayonnement non ionisant doit être effectuée après la mise en service de l'installation pour contrôler le pronostic calculé. À cet égard, le Tribunal fédéral a examiné la conformité au droit de la condition posée par l'autorisation de construire sur les mesures devant être effectuées après la mise en service de l'installation transformée, notamment dans l'un des LUS mentionné dans la fiche de données spécifique au site, et a considéré que cette condition correspondait aux Recommandations susmentionnées. 12.         Dans le cas d'espèce, compte tenu de ce qui précède, c'est en vain que les parties intervenantes invoquent les effets nocifs des rayonnements non ionisants sur la santé humaine, qu'ils soient scientifiquement démontrés ou pas suffisamment en l'état. En effet, c'est précisément en raison du danger avéré ou potentiel de ces rayonnements que le Conseil fédéral a déterminé dans l'ORNI des valeurs limites en deçà desquelles aucun effet du rayonnement de la téléphonie mobile n'a jusqu'ici été prouvé de manière cohérente.![endif]&gt;![if&gt; S'agissant de l'incertitude de la mesure des rayonnements émis par une installation, les considérants qui précèdent conduisent également à rejeter les arguments des parties intervenantes. Les recommandations de l'OFEV tiennent précisément compte des incertitudes qui pèsent autour de la mesure du rayonnement provoqué par une installation de téléphonie mobile, la jurisprudence susrappelée du Tribunal fédéral précisant que l'incertitude de mesure ne doit être ni ajoutée ni déduite, que seules les valeurs mesurées doivent être prises en compte et enfin que c'est pour prendre en compte cette incertitude que des mesures de réception doivent être effectuées après la mise en service de l'installation si, selon la prévision calculée, 80 % de la valeur limite de l'installation est atteinte à un LUS. Outre ces considérations générales qui conduisent à rejeter les arguments des parties intervenantes relatifs au principe de prévention et à l'incertitude des mesures du rayonnement non ionisant, il faut ajouter que le présent litige vise un refus d'autorisation de construire notifié à la recourante alors que le SABRA avait requis un complément d'instruction et ne s'était vraisemblablement même pas penché sur la fiche de données spécifique dans sa version du 27 septembre 2018. En d'autres termes, les arguments des parties intervenantes dans la présente procédure ont une portée abstraite et ne s'appliquent pas spécifiquement à l'installation litigieuse, celle-ci n'ayant précisément pas fait l'objet d'une autorisation de construire. 13.         C'est le lieu de préciser que la production par la recourante, durant la présente procédure, de la nouvelle fiche de données spécifique au site établie le 21 janvier 2022, ne permet pas de donner suite à la conclusion de la recourante relative à l'octroi de l'autorisation de construire, ni à sa conclusion subsidiaire concernant le renvoi du dossier à l'autorité intimée avec ordre de délivrer l'autorisation sollicitée. Comme l'a relevé à juste titre autorité intimée, le tribunal est une instance judiciaire de contrôle de la légalité des décisions prises par les autorités administratives et ne peut se substituer à ces dernières en instruisant des questions qui relèvent du préavis d'instances spécialisées. Il incombe en l'espèce au SABRA d'examiner le dossier, notamment sur la base de la nouvelle fiche de données spécifique au site, puis ensuite à l'autorité intimée, si elle estime que l'autorisation peut être octroyée, de l'assortir cas échéant des conditions qui s'imposeraient selon l'ORNI et les recommandations de l'OFEV.![endif]&gt;![if&gt; 14.         Il résulte de ce qui précède que, dans la mesure où elle se fonde sur le principe de prévention, la décision litigieuse est contraire au droit.![endif]&gt;![if&gt; 15.         Il reste cependant à examiner l'autre motif sur lequel se fonde la décision litigieuse, à savoir la clause d'esthétique de l'art. 15 LCI. Plus spécifiquement, cette décision fait siennes les critiques du SMS selon lesquelles, en substance, l'antenne projetée porterait atteinte à la valeur architecturale de l'immeuble et au site de I______.![endif]&gt;![if&gt; 16.         Aux termes de l'article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Il se fonde notamment sur le préavis de la commission d'architecture ou, pour les objets qui sont de son ressort, sur celui de la commission des monuments, de la nature et des sites. Il tient compte également, le cas échéant, de ceux émis par la commune ou les services compétents du département.![endif]&gt;![if&gt; La clause d'esthétique de la disposition susmentionnée constitue une notion juridique indéterminée, laissant un certain pouvoir d'appréciation à l'administration, celle-ci n'étant limitée que par l'excès ou l'abus de pouvoir (art. 61 al. 2 LPA). Dans le système de la LCI, les avis ou préavis des communes, des départements et organismes intéressés n'ont qu'un caractère consultatif, bien que leur rôle soit le plus souvent considéré comme important dans l'appréciation du dossier (Mémorial des séances du Grand Conseil 1988 II p.1640). En particulier, le préavis de la commission des monuments de la nature et des sites, qui est composée de spécialistes en matière d'architecture et d'urbanisme, émis à l'occasion d'un projet concret, revêt un poids prépondérant (ATA H. du 2 mars 1999 et réf. cit.; T. TANQUEREL, "La pesée des intérêts vue par le juge administratif" publié in La pesée globale des intérêts, A. MORAND, 1996, p. 201). 17.         Chaque fois que l'autorité administrative suit les préavis des commissions consultatives, l'autorité de recours doit s'imposer une certaine retenue, en fonction de son aptitude à trancher le litige ( ATA/560/2004 du 22 juin 2004 et réf. cit; ATA/123/2003 du 11 mars 2003).![endif]&gt;![if&gt; 18.         En l'espèce, la recourante se méprend sur la portée de l'art. 15 LCI, qui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 . En l'occurrence, le dossier ne comporte aucun plan en coupe montrant l'immeuble dans toute sa hauteur et I______ dans sa largeur, ni photomontage, de sorte que l'on ignore l'importance précise de la visibilité du projet litigieux aux alentours. Cela étant, le plan en coupe existant au dossier, même s'il ne montre pas intégralement la hauteur de l'immeuble (le rez-de-chaussée et les deux premiers étages ne sont pas représentés), révèle suffisamment la dimension considérable de l'antenne, laquelle serait manifestement très perceptible au sommet du bâtiment et depuis l'espace dégagé et très particulier de I______. L'antenne projetée n'est pas un objet neutre dans l'espace urbain et la jurisprudence citée par la recourante elle-même fait état de la préoccupation générale concernant le fait de camoufler autant que possible ce type d'installation. Il convient à cet égard de souligner que cette réflexion tient compte de la multiplication de ces installations et donc du fait qu'à défaut de leur imposer d'être aussi discrètes que possible, elles sont susceptibles d'envahir visuellement l'espace public. Par conséquent, sur le principe, les critiques émises par le SMS et la commune intervenante sur le problème esthétique posé par le projet sont tout à fait fondées.![endif]&gt;![if&gt; 19.         Cela étant, la mission du département consiste à procéder à la pesée des intérêts en présence, à savoir d'une part l'intérêt consistant à préserver l'espace public d'antennes de téléphonie mobile trop voyantes et d'autre part à permettre aux opérateurs d'assurer une couverture de téléphonie mobile de qualité, ce qui relève d'une tâche de la Confédération (ATF 139 II 271 consid. 11.2; ATF 131 II 545 consid. 2.2 p. 547 s.; arrêt 1C_283/2021 du 21 juillet 2022 consid. 3.1.2). Dans cette mesure, il lui appartient d'instruire le dossier de manière complète afin d'être en mesure d'apprécier correctement l'ensemble des paramètres pertinents. Le fait qu'une instance de préavis critique le projet pour des raisons esthétiques ne suffit ainsi pas pour rejeter la requête en autorisation. Il faut encore donner au requérant la possibilité de démontrer, outre le caractère indispensable de la construction, qu'aucune solution alternative ne soit raisonnablement envisageable.![endif]&gt;![if&gt; 20.         Dans le cas d'espèce, l'autorité intimée a invité la recourante, par courrier du 11 février 2019, à se positionner sur les préavis du SMS et de la commune intervenante. Selon les allégués de l'autorité intimée, que la recourante n'a pas contestés, cette dernière n'a pas répondu à cette invitation.![endif]&gt;![if&gt; 21.         C'est donc à bon droit que l'autorité intimée a considéré que la preuve de l'absence d'alternative au projet litigieux n'avait pas été apportée au moment où elle a rendu la décision querellée et qu'elle a donc fait prévaloir l'intérêt à préserver le bâtiment et I______ d'une installation inesthétique.![endif]&gt;![if&gt; 22.         C'est le lieu de préciser que les explications données par la recourante au stade de la présente procédure sur l'impossibilité d'un emplacement alternatif pour l'antenne litigieuse (en particulier à l'arrière du bâtiment concerné) apparaissent non seulement lacunaires, comme relevé par les parties intimées, mais surtout qu'elles n'ont pas été soumises aux instances spécialisées, dont le SABRA, qui sont mieux à même que le tribunal d'apprécier les aspects techniques discutés par la recourante.![endif]&gt;![if&gt; 23.         Le tribunal pourrait ainsi rejeter le recours, l'un des deux motifs de la décision litigieuse apparaissant bien fondé. Cependant, cette solution ne tiendrait pas compte de la divergence de principe qui a opposé la recourante et l'autorité initmée sur le développement de la technologie 5G, divergence qui a conduit la recourante à mettre un terme au dialogue dans le cadre de l'instruction des dossiers concernés. Or, comme on l'a vu, la position de l'autorité intimée sur cette question de principe était infondée, de sorte que le rejet pur et simple du recours entrainerait une conséquence disproportionnée et contraire au principe d'économie de procédure, en obligeant la recourante à déposer une nouvelle requête. Dans la mesure où, pour les motifs exposés plus haut (cf. consid. 13), il y aurait lieu de toute manière de renvoyer le dossier à l'autorité intimée pour complément d'instruction sous l'angle de l'ORNI, il s'avère plus conforme à l'économie de procédure de suivre cette voie et ainsi d'admettre partiellement le recours en ce qu'il conclut à l'annulation de la décision querellée.![endif]&gt;![if&gt; 24.         En reprenant l'instruction du dossier, le département invitera également la recourante à le compléter par tous les documents permettant d'apprécier de la manière la plus précise possible l'impact visuel du projet actuel et celui des alternatives envisageables, ainsi que les documents établissant les conséquences techniques (ou l'impossibilité) d'un déplacement de l'antenne. Les instances spécialisées, dont le SABRA et le SMS, devront procéder à l'examen de ces documents de manière à établir et cas échéant confirmer les conséquences techniques et esthétiques d'une solution alternative. Il appartiendra finalement au département de procéder à la pesée des intérêts en présence et de décider s'il se justifie d'imposer une solution alternative, ou si son "coût", notamment en termes d'efficience, est trop important.![endif]&gt;![if&gt; 25.         Au vu de ce qui précède, la décision litigieuse sera annulée, le recours étant admis quant à la première de ses conclusions principales, mais rejeté quant à la seconde de ses conclusions principales et la seconde de ses conclusions subsidiaires.![endif]&gt;![if&gt; 26.         À cet égard, il est précisé que le présent jugement constitue une décision incidente.![endif]&gt;![if&gt; 27.         Le recours est ainsi partiellement admis.![endif]&gt;![if&gt; 28.         Vu l'issue du litige, il ne sera pas perçu d'émolument (art. 87 al. 1 LPA et 1 et 2 du règlement sur les frais, émoluments et indemnités en procédure administrative du 30 juillet 1986 - RFPA - E 5 10.03) et son avance de frais de CHF 200.- sera restituée à la recourante.![endif]&gt;![if&gt; 29.         Vu l'issue du litige, une indemnité de procédure réduite de CHF 300.-, sera mise à la charge de l'État de Genève, soit pour lui le département du territoire, sera allouée à A______ SA (art. 87 al. 2 à 4 LPA et 6 RFPA). Le montant de cette indemnité tient compte du fait que le conseil de la recourante a produit des écritures identiques dans plusieurs autres dossiers actuellement pendants devant le tribunal, de sorte que si l'issue de ces dossiers devait être identique à celle de la présente procédure, il ne se justifierait pas d'octroyer à chaque fois l'indemnité qui serait normalement allouée pour une activité déployée pour un seul dossier. Cas échéant, en cas d'admission du recours de A______ SA dans un nombre limité des autres dossiers susmentionnés, le montant de l'indemnité octroyée à ces occasions sera réévalué afin de constituer un tout cohérent.![endif]&gt;![if&gt;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