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A/385/2020 vom 31. März 2020</w:t>
      </w:r>
    </w:p>
    <w:p>
      <w:r>
        <w:t>GE Cour de justice, 2020-03-31, FR</w:t>
      </w:r>
    </w:p>
    <w:p>
      <w:r>
        <w:rPr>
          <w:b/>
        </w:rPr>
        <w:t xml:space="preserve">Quelle: </w:t>
      </w:r>
      <w:r>
        <w:t>https://mcp.opencaselaw.ch/entscheid/ge_gerichte_A_385_2020</w:t>
      </w:r>
    </w:p>
    <w:p>
      <w:r>
        <w:t>FR: GE_GERICHTE A/385/2020 du 31 mars 2020</w:t>
      </w:r>
    </w:p>
    <w:p>
      <w:r>
        <w:t>IT: GE_GERICHTE A/385/2020 del 31 marzo 2020</w:t>
      </w:r>
    </w:p>
    <w:p>
      <w:pPr>
        <w:pStyle w:val="Heading2"/>
      </w:pPr>
      <w:r>
        <w:t>Erwägungen</w:t>
      </w:r>
    </w:p>
    <w:p>
      <w:r>
        <w:rPr>
          <w:b/>
        </w:rPr>
        <w:t>E. 1</w:t>
      </w:r>
    </w:p>
    <w:p>
      <w:r>
        <w:t>ère section dans la cause A______, enfant mineure, agissant par ses parents Madame et Monsieur B______ contre DÉPARTEMENT DE L'INSTRUCTION PUBLIQUE, DE LA FORMATION ET DE LA JEUNESSE EN FAIT 1) Madame B______ et son mari, Monsieur B______ (ci-après : le couple ou les parents), sont domiciliés à Douvaine, en France. M. B______ travaille à Genève. Ils sont les parents de A______, née le ______ 2015. La famille est de nationalité suisse. 2) Par demande datée du 17 novembre 2019, mais reçue à la direction générale de l'enseignement obligatoire (ci-après : DGEO) le 6 janvier 2020, le couple a déposé une demande d'admission dans l'enseignement primaire public genevois d'élèves domiciliés en France voisine, rentrée 2020, auprès du département de l'instruction publique, de la formation et de la jeunesse (ci-après : DIP ou département) en faveur de leur fille. Il ressort de cette demande qu'A______ était scolarisée au sein de l'établissement scolaire ______ à Aubonne - Douvaine pendant l'année scolaire 2018 - 2019 en classe enfantine. 3) Le 10 janvier 2020, le département, soit pour lui la DGEO, a rejeté la demande d'admission dans l'enseignement primaire public genevois de l'enfant du couple. Elle ne remplissait pas les conditions d'admission de l'art. 23 al. 1 let. b du règlement de l'enseignement primaire du 7 juillet 1993 (REP - 1 10.21), à savoir qu'elle n'avait pas de fratrie déjà scolarisée au sein de l'enseignement obligatoire public genevois, condition nécessaire pour pouvoir l'admettre à Genève. 4) Par acte posté le 29 janvier 2020, les époux ont recouru contre cette décision auprès de la chambre administrative de la Cour de justice (ci-après : la chambre administrative). Ils ont conclu à l'admission de leur fille dans l'enseignement primaire public genevois. M. B______ était de nationalité suisse. Il avait vécu en Argentine et était arrivé en Suisse en 2002. En 2015, à contrecoeur, le couple avait pris la décision de déménager en France pour des raisons financières. Ils étaient attachés à l'histoire, la culture et aux valeurs suisses. Ils souhaitaient donner à leur fille l'envie de ne pas perdre ce « bagage de vie » et désiraient ardemment une éducation suisse pour leur enfant. 5) Le 25 février 2020, le département a conclu au rejet du recours. Le canton de Genève était légitimé juridiquement à limiter l'accès à l'école obligatoire aux seuls résidents de son territoire. Selon la jurisprudence de la chambre administrative, l'art. 23 REP ne limitait pas le droit d'accès à l'enseignement, mais élargissait le champ d'accès en instaurant deux exceptions positives au principe de non-scolarisation des enfants domiciliés hors du canton de Genève. La réglementation était conforme à l'accord du 21 juin 1999 entre la Confédération suisse d'une part, et la Communauté européenne et ses États membres, d'autre part, sur la libre circulation des personnes (ALCP - RS 0.142.112.681). Le Tribunal fédéral s'était aussi prononcé dans ce sens. Les circonstances personnelles ou souhaits mis en avant par les parents ne conféraient pas de droit à l'enfant d'être scolarisé dans le canton hors les exceptions prévues à l'art. 23 al. 1 let. a et b REP. 6) Le 3 avril 2019, le couple a persisté dans ses conclusions. Ils invoquaient une violation du principe de l'égalité de traitement, la violation de la constitution genevoise qui garantissait une éducation gratuite et universelle pour tous les citoyens et contribuables du canton. 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du DIP de scolariser l'enfant du couple dans l'enseignement primaire public genevois. 3) a. À teneur de l'art. 19 de la Constitution fédérale de la Confédération suisse du 18 avril 1999 (Cst. - RS 101), le droit à un enseignement de base suffisant et gratuit est garanti. Au niveau cantonal, l'art. 24 de la Constitution de la République et canton de Genève du 14 octobre 2012 (A 2 00 - Cst - 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 ère année (4 à 5 ans), la 2 ème année primaire (5 à 6 ans), la 3 ème année primaire (6 à 7 ans), la 4 ème année primaire (7 à 8 ans) et le cycle moyen qui comprend la 5 ème année primaire (8 à 9 ans), la 6 ème année primaire (9 à 10 ans), la 7 ème année primaire (10 à 11 ans) et enfin la 8 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en l'espèce, le 31 janvier 2020 (https://www.ge.ch/inscrire-mon-enfant-ecole-primaire/enfant-domicilie-hors-du-canton, consulté le 27 mars 2020). 4) a.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Quant à l'art. 24 Cst-GE, rien n'indique que sa portée, s'agissant du droit à un enseignement de base suffisant et gratuit, serait plus large que celle de l'art. 19 Cst. b. En l'espèce, la fille du couple n'est pas domiciliée en Suisse. Elle ne peut en conséquence pas se prévaloir du droit à y recevoir un enseignement de base suffisant et gratuit. Seul le fait qu'elle ne soit pas domiciliée à Genève est pertinent pour lui dénier ce droit, étant précisé qu'elle ne conteste pas, pour le surplus, ne pas remplir les conditions de l'art. 23 al. 1 let. b REP. Cette conclusion ne contrevient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5) Les parents soutiennent qu'ils sont, avec leur fille, victimes d'une discrimination proscrite par l'ALCP. a. La chambre administrative a traité en détail de la problématique dans plusieurs arrêts auxquels il peut être renvoyé ( ATA/999/2019 du 11 juin 2019 consid. 13 à 24 ; ATA/1017/2019 du 13 juin 2019 ; ATA/1016/2019 du 13 juin 2019 ; ATA/1015/2019 du 13 juin 2019 notamment). Elle a rejeté les recours d'enfants et de leurs parents domiciliés en France voisine contre le refus de les scolariser dans l'enseignement primaire public genevois. Ce refus, qui découlait de l'un des corollaires du caractère obligatoire de l'enseignements primaire, à savoir que les enfants doivent fréquenter l'école du lieu où ils résident, reposait sur une base légale suffisante et ne violait pas l'ALCP. b. Par ailleurs, dans un arrêt du 11 juin 2019, le Tribunal fédéral a confirmé un arrêt de la chambre de céans (arrêt 2C_820/2018 consid. 4.1) s'agissant du refus de l'accès, pour un enfant handicapé suisse, domicilié en France, aux mesures de pédagogie spécialisée. Aux termes de l'art. 3 Annexe I ALCP, les membres de la famille d'une personne ressortissant d'une partie contractante ayant un droit de séjour ont le droit de s'installer avec elle. Ce droit général comprend plusieurs facettes, qui correspondent pour l'essentiel aux droits accordés aux personnes qui jouissent elles-mêmes de la libre circulation, dont le droit à l'enseignement. Or, selon l'art. 3 par. 6 Annexe I ALCP, qui est calqué sur l'art. 12 du règlement (CEE) n° 1612/68 (actuellement, art. 10 du règlement [UE] n° 492/2011),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Il ressort de ce qui précède que la condition de la résidence est prévue par l'ALCP lui-même. Si l'art. 3 par. 6 de l'Annexe I à l'ALCP établit bien un principe de non-discrimination relatif à l'admission aux cours d'enseignement général, d'apprentissage et de formation professionnelle, celui-ci concerne les Suisses domiciliés dans un État membre et les ressortissants des États membres domiciliés en Suisse : ces personnes ont droit aux mesures de formation spécialisée aux mêmes conditions que les nationaux. La Cour de justice des Communautés européennes a d'ailleurs jugé que l'enfant d'un travailleur migrant, qui peut se réclamer de l'art. 12 du règlement n° 1612/68, doit être admis aux cours d'enseignement général, d'apprentissage et de formation professionnelle dans les mêmes conditions que les ressortissants du pays d'accueil, si cet enfant réside sur son territoire. Ainsi, en tant qu'il prévoit une condition de domicile, l'art. 3 par. 6 Annexe I ALCP constitue en quelque sorte une réserve par rapport au principe général de non-discrimination de l'art. 2 ALCP, qui lui-même ne s'applique au demeurant qu'aux personnes qui séjournent légalement sur le territoire de l'État concerné (arrêt 2C_820/2018 précité et les références citées). Comme l'indique le Tribunal fédéral dans le cas précité, applicable aux recourants, ceci s'explique par le but de l'art. 3 par. 6 Annexe I ALCP qui est l'intégration de la famille du travailleur dans l'État membre d'accueil. En effet, l'intégration de la famille dans le milieu du pays d'accueil présuppose, dans le cas de l'enfant d'un travailleur étranger, que cet enfant puisse bénéficier, dans les mêmes conditions que ses homologues nationaux, des avantages prévus par la législation du pays d'accueil dont les mesures éducatives prévues. Or, en l'espèce, les recourants sont domiciliés en France. Le but recherché de l'intégration veut, en conséquence, que leur enfant bénéficie de l'enseignement spécialisé de ce pays et pas en Suisse. Le grief d'une discrimination proscrite par l'ALCP sera donc écarté. 6) Dans leur réplique, les recourants invoquent leur qualité de contribuable du canton. En tant que le grief serait recevable car invoqué dans la réplique et sans aucune motivation, les recourants n'indiquent toutefois pas quelles éventuelles dispositions conventionnelles, légales ou réglementaires, mis à part l'art. 23 al. 1 let. a REP dont ils ne remplissent pas les conditions, imposeraient aux autorités genevoises d'admettre leur fille dans l'enseignement primaire public genevois du seul fait que leurs parents y payent des impôts ( ATA/999/2019 précité consid. 23). 7) Dans leur réplique, les recourants invoquent encore une violation de l'égalité de traitement. À nouveau, en tant que le grief serait recevable, les recourants ne précisent pas quelle situation serait similaire à la leur et serait traitée différemment. En tous points infondé, le recours sera rejeté 8) Vu l'issue du litige, un émolument de CHF 400.- sera mis à la charge des recourants, qui succombent. L'enfant mineure ayant agi par ses parents, ceux-ci se verront astreints au paiement dudit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