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A/3859/2018 vom 4. Juni 2020</w:t>
      </w:r>
    </w:p>
    <w:p>
      <w:r>
        <w:t>GE Cour de justice, 2020-06-04, FR</w:t>
      </w:r>
    </w:p>
    <w:p>
      <w:r>
        <w:rPr>
          <w:b/>
        </w:rPr>
        <w:t xml:space="preserve">Quelle: </w:t>
      </w:r>
      <w:r>
        <w:t>https://mcp.opencaselaw.ch/entscheid/ge_gerichte_A_3859_2018</w:t>
      </w:r>
    </w:p>
    <w:p>
      <w:r>
        <w:t>FR: GE_GERICHTE A/3859/2018 du 4 juin 2020</w:t>
      </w:r>
    </w:p>
    <w:p>
      <w:r>
        <w:t>IT: GE_GERICHTE A/3859/2018 del 4 giugno 2020</w:t>
      </w:r>
    </w:p>
    <w:p>
      <w:pPr>
        <w:pStyle w:val="Heading2"/>
      </w:pPr>
      <w:r>
        <w:t>Erwägungen</w:t>
      </w:r>
    </w:p>
    <w:p>
      <w:r>
        <w:rPr>
          <w:b/>
        </w:rPr>
        <w:t>E. 3</w:t>
      </w:r>
    </w:p>
    <w:p>
      <w:r>
        <w:t>ème Chambre En la cause Monsieur A_, domicilié à MEYRIN recourant contre OFFICE DE L'ASSURANCE-INVALIDITÉ DU CANTON DE GENÈVE, sis rue des Gares 12, GENÈVE intimé EN FAIT 1.        Monsieur A______ (ci-après : l'assuré), né en 1970, originaire du Kosovo, arrivé en Suisse en février 2003, nettoyeur de profession, a déposé en octobre 2016 une demande de prestations auprès de l'Office de l'assurance-invalidité du canton de Genève (ci-après : l'OAI). 2.        Du rassemblement de ses comptes individuels AVS, il ressort qu'il a réalisé les revenus suivants : CHF 15'200.- en 2006, CHF 11'125.- en 2008, CHF 31'048- (25'633.- + 5'415.-) en 2009, CHF 43'423.- (29'949.- + 13'474.-) en 2010, CHF 50'565.- (36'049.- + 14'516.-) en 2011, CHF 47'104.- (33'479.- + 13'625.-) en 2012, CHF 39'564.- (10'282.- + 5'912.- + 2'434.- + 20'936) en 2013, CHF 26'976.- (26'184.- + 792.-) en 2014 et CHF 4'667.- en 2015. 3.        La doctoresse B______, spécialiste FMH en médecine générale et médecin traitant, a indiqué le 25 avril 2017 que son patient souffrait de nombreuses pathologies, notamment des rachialgies, des tendinopathies récidivantes aux épaules et au coude droit, des gonalgies sur lésion méniscale et instabilité du genou droit et un état anxio-dépressif. Ces atteintes l'empêchaient d'exercer son métier de nettoyeur depuis septembre 2014. Les limitations fonctionnelles consistaient à éviter les travaux lourds, le port de charges, les mouvements répétés du membre supérieur droit, les positions agenouillées et les flexions répétées de la jambe droite. Différents rapports radiologiques ont par ailleurs été versés au dossier. 4.        Le dossier a été soumis au Service médical régional pour la Suisse romande de l'assurance-invalidité (ci-après : SMR) qui, le 17 août 2017, a constaté que l'assuré, en arrêt de travail depuis le 4 septembre 2014 pour une atteinte de l'épaule gauche et du genou droit, était connu sur le plan rhumatologique pour une tendinopathie de l'épaule gauche, une lésion du ménisque interne et du ménisque externe du genou droit et une rupture du ligament croisé antérieur. Le médecin traitant retenait parallèlement des cervico-dorso-lombalgies chroniques sur troubles statiques de la colonne lombaire, une épicondylite du coude droit, une périarthrite de la hanche gauche, un syndrome du tunnel carpien bilatéral, un syndrome d'apnées du sommeil, un état anxio-dépressif et des acouphènes pour lesquels aucun examen ou consultation spécialisé n'avait été documenté. Les limitations fonctionnelles retenues consistaient à éviter les travaux lourds, le port de charges, les mouvements répétés des membres supérieurs, les positions agenouillées et la flexion répétée de la jambe droite. La Dresse B______ ne se prononçait pas sur la capacité de travail dans une activité adaptée. Une série de symptômes psychiques étaient évoqués, sans qu'aucun suivi psychiatrique n'ait pourtant été mis sur pied. 5.        En décembre 2017, le docteur C______, spécialiste FMH en chirurgie orthopédique, a brièvement indiqué que l'assuré avait souffert d'une déchirure du ligament croisé antérieur droit et d'une lésion du ménisque interne. N'ayant vu l'assuré qu'une seule fois, il était incapable de se déterminer quant aux limitations fonctionnelles découlant de ces atteintes. Il renvoyait dès lors à la Dresse B______ pour toute question supplémentaire. 6.        Celle-ci, dans un bref courrier du 30 août 2017, confirmait l'incapacité de travail dans l'activité habituelle et les limitations fonctionnelles d'épargne des membres supérieur et inférieur droits. 7.        Le SMR, en date du 31 juillet 2018, a considéré qu'au vu de l'absence de complication et du type d'atteinte, il fallait considérer la capacité de travail comme définitivement nulle dans l'activité de nettoyeur, mais entière dans toute activité respectant les limitations fonctionnelles d'épargne du bras droit et de la jambe droite. 8.        Dès lors, le 7 août 2018, l'OAI a adressé à l'assuré un projet de décision dont il ressortait qu'il se proposait de lui nier le droit à toute prestation. Le degré d'invalidité avait été calculé en comparant le revenu qu'aurait pu réaliser l'assuré sans invalidité, soit CHF 67'022.-, selon l'Enquête suisse sur la structure des salaires 2014, dans une activité simple et répétitive à plein temps, à celui qu'il aurait pu obtenir la même année, malgré l'atteinte à sa santé, soit CHF 67'022.- à nouveau. Il a été relevé que le revenu estimé à titre de revenu avant invalidité était largement supérieur à tous ceux effectivement réalisés par l'assuré durant son parcours professionnel. 9.        Le 11 septembre 2018, l'assuré a contesté ce projet en produisant à l'appui de sa position une attestation médicale rédigée le 29 août 2018 par son médecin traitant indiquant qu'elle le suivait depuis avril 2014 pour des douleurs au coude droit qui s'étaient aggravées, que son patient se plaignait également d'angoisse, de nervosité et maux de tête, qu'en juillet 2014 il s'était plaint de douleurs et de blocages au niveau du genou droit, puis, progressivement, de douleurs à l'épaule gauche, puis de douleurs au niveau de la colonne lombaire, d'angoisse, d'asthénie, d'hallucinations auditives et visuelles et d'une baisse de moral, de troubles de la mémoire et de la concentration, de ronflements, d'une faiblesse au niveau des membres supérieurs, de crises de panique et de douleurs à la hanche gauche. Les diagnostics retenus étaient les suivants : cervico-dorso-lombalgies chroniques sur troubles statiques et dégénératifs de la colonne lombaire, tendinopathie des épaules, épicondylite du coude droit, périarthrite de la hanche gauche, syndrome du tunnel carpien bilatéral, syndrome d'apnées du sommeil, gonalgies aiguës droites sur lésion méniscale interne et externe et sur rupture du LCA, gonalgies aiguës gauches, état anxio-dépressif, acouphènes, doigt à ressaut, probable polyarthrite rhumatoïde, eczéma au niveau de l'avant-bras gauche. Les nombreux traitements médicamenteux et physiothérapeutiques n'avaient apporté aucune amélioration notable sur le plan clinique. 10.    Le SMR, en octobre 2018, a constaté que les diagnostics n'avaient pas changé et que le médecin traitant n'apportait aucun élément objectif à l'appui de son arrêt de travail à 100%. 11.    Par décision du 5 octobre 2018, l'OAI a nié à l'assuré le droit à toute prestation. S'il lui a reconnu une totale incapacité à exercer son activité habituelle de nettoyeur depuis septembre 2014, l'OAI a considéré que l'assuré avait conservé une capacité de travail de 100% dans une profession adaptée à son état de santé. Dès lors, il a procédé à la comparaison entre le revenu que l'assuré aurait réalisé sans atteinte à sa santé, soit CHF 67'022.-, et celui qu'il aurait pu obtenir malgré cette atteinte, soit CHF 67'022.- à nouveau, de sorte qu'il est parvenu à la conclusion que la perte de gain était nulle. Ce faisant, l'OAI a souligné que le revenu retenu à titre de salaire avant invalidité était largement supérieur à tout ce que l'assuré avait pu percevoir durant sa carrière professionnelle. Pour le surplus, il a considéré que des mesures professionnelles n'étaient pas indiquées, car elles ne seraient pas de nature à améliorer la capacité de gain. 12.    Par écriture du 1 er novembre 2018, l'assuré a interjeté recours contre cette décision en concluant à l'octroi d'une rente d'invalidité et à celui de mesures de réadaptation. En substance, il argue qu'il n'est plus capable d'exercer la moindre activité, quel que soit le domaine envisagé. Il reproche à l'intimé de ne pas avoir mis sur pied d'expertise. Il lui fait également grief de ne pas avoir admis de diminution de rendement et de ne pas avoir appliqué de réduction au revenu après invalidité. 13.    Invité à se déterminer, l'intimé, dans sa réponse du 26 novembre 2018, a conclu au rejet du recours. Il soutient qu'aucun élément médical objectif n'a été ignoré et considère que la mise sur pied d'une expertise ne se justifie pas, le dossier contenant suffisamment d'indications médicales fiables. Pour le surplus, il estime qu'il n'existe aucun motif de retenir une baisse de rendement ou d'appliquer une réduction au revenu après invalidité. 14.    Par écriture du 15 janvier 2019, l'assuré a persisté dans ses conclusions. Il allègue ne pouvoir travailler comme nettoyeur qu'à hauteur de 50% et ne pouvoir exercer une activité adaptée qu'à raison de 70-80% tout au plus. Il ajoute qu'il rencontre de nombreuses limitations fonctionnelles, qu'il n'est titulaire que d'un permis B et qu'il ne peut travailler qu'à temps partiel et en tire la conclusion que le revenu après invalidité aurait dû être réduit de 20% au moins. Il annonce son intention de consulter un psychiatre en raison de « soucis psychiques ». Il réitère sa demande de mise sur pied d'une expertise rhumatologique et psychiatrique. Enfin, il demande à être mis au bénéfice de mesures de réadaptation. A l'appui de sa position, le recourant produit un rapport rédigé le 3 décembre 2018 par le Dr D______. Le médecin y relate que l'assuré souffre de douleurs assez diffuses avec des lombosciatalgies droites puis gauches, de douleurs aux épaules, au coude droit, à la main droite, aux jambes, aux genoux, aux voûtes plantaires et à la colonne cervicale, depuis deux ans et de façon de plus en plus sévère. Il se plaint également de douleurs de la face postéro-externe de la cuisse droite durant la nuit. A l'examen clinique, le médecin dit avoir constaté un surpoids, la présence de douze points de fibromyalgie douloureux sur dix-huit, l'absence de boiterie, l'absence de difficulté apparente à l'habillage et au déshabillage, l'absence de tuméfaction au niveau des articulations périphériques et l'absence de limitation de la mobilité des épaules. Une imagerie par résonance magnétique (IRM) de la colonne lombosacrée pratiquée le 26 novembre 2018 a révélé une dégénérescence discale L4-L5, une protrusion discale L3-L4 sans conflit radiculaire, une protrusion discale L4-L5 sans répercussion significative sur les racines sous-jacentes, une arthrose postérieure L4-L5 et L5-S1 et un phénomène de surcharge de type dégénératif au niveau des articulations sacro-iliaques. En conclusion, le médecin qualifie cet examen de relativement normal pour l'âge du patient. Des examens sanguins, en novembre 2018, se sont également révélés normaux, sans syndrome inflammatoire biologique, sans anomalie non plus des tests hépatiques, de la créatinine, des CK, du calcium, de la vitamine D et du phosphate. En d'autres termes, le bilan sanguin n'orientait pas vers une pathologie spécifique. En conclusion, le tableau clinique allait plutôt dans le sens d'une fibromyalgie au vu de la diffusion des douleurs et de la présence de douze points douloureux sur dix-huit chez un patient se plaignant de douleurs chroniques affectant l'hémicorps supérieur et inférieur, ainsi que droit et gauche. Les lombosciatalgies prédominaient à droite, sans syndrome vertébral ni radiculaire. Le médecin a également évoqué une possible tendinopathie du supra-épineux des épaules avec un conflit sous-acromial et, à l'échographie, un léger épaississement de la bourse sous-acromio-deltoïdienne. Une IRM du genou droit pratiquée en 2014 a révélé une chondropathie rotulienne, une déchirure de grade III de la corne postérieure du ménisque interne et de grade II de la corne antérieure du ménisque externe avec une rupture complète du ligament croisé antérieur et des images évocatrices d'une algodystrophie. Enfin, des radiographies du genou droit pratiquées en 2017 ont montré une arthrose débutante du compartiment fémoro-tibial interne du genou droit. On pouvait donc retenir également une gonarthrose droite débutante sans limitation claire de la mobilité. Les diagnostics retenus étaient donc les suivants : fibromyalgie, gonarthrose droite consécutive à une rupture du ligament croisé antérieure avec des lésions des ménisques et très probable tendinopathie de la coiffe des rotateurs des deux épaules avec conflit sous-acromial. Le médecin, dans un document complémentaire, a énuméré les limitations fonctionnelles suivantes : difficulté à travailler en position agenouillée ou accroupie, à rester plusieurs heures en position debout et/ou à marcher, à travailler bras en hauteur et à porter des charges lourdes. Il a évalué la capacité de travail dans le poste de nettoyeur à 50% environ et, dans une activité adaptée (réceptionniste, surveillant sur écran vidéo, par exemple), à 70- 80%. Le pronostic était mauvais en raison de la fibromyalgie, de la chronicité des plaintes et de l'échec de plusieurs traitements. 15.    Par écriture du 14 février 2019, l'intimé a persisté dans ses conclusions en rejet du recours. Il se réfère à l'avis émis par le SMR le 14 février 2019, après examen des documents rédigés par le docteur D______, spécialiste FMH en rhumatologie. Le SMR relève que, malgré une symptomatologie psychique évoquée par le médecin traitant, aucun suivi psychiatrique spécialisé n'a été mis en place. Au vu du type des atteintes et de l'absence de complication démontrée par l'absence de consultation spécialisée depuis 2014, le SMR considère que la capacité de travail est restée pleine et entière dans toute activité adaptée respectant les limitations fonctionnelles d'épargne du bras et de la jambe droits (pas de port de charges lourdes, pas d'activité physique intense du coude droit, pas d'activité agenouillée ou accroupie, pas de travail bras droit au-dessus de la tête) et s'exerçant principalement en position assise. Le SMR souligne que le diagnostic de fibromyalgie posé par le Dr D______ l'a été selon les critères de 1990 et non ceux de 2010 actuellement recommandés par la littérature médicale. Selon ces nouveaux critères, il existe dix-neuf zones douloureuses et la sévérité des symptômes est également prise en compte. Un score supérieur à treize signe une fibromyalgie. Le SMR en tire la conclusion que le diagnostic de fibromyalgie tel que posé par le Dr D______ ne peut être retenu puisqu'il n'a pas été posé selon les nouvelles recommandations en vigueur. Quoi qu'il en soit, il fait remarquer que l'évaluation du Dr D______ est plus sévère que celle du SMR s'agissant de l'incapacité de travail dans l'activité habituelle. Enfin, il relève que le Dr D______ n'indique pas pour quelles raisons il retient une capacité de travail diminuée à 70-80% dans une activité adaptée. 16.    Par écriture du 27 mars 2019, le recourant a dès lors suggéré qu'il soit demandé au Dr D______ de confirmer son diagnostic. Il a fait remarquer que ce médecin est spécialiste en la matière. Pour le reste, il indique n'avoir pu obtenir un rendez-vous chez un psychiatre avant avril 2019. 17.    Le 28 août 2019, le recourant a annoncé à la Cour avoir annulé son rendez-vous avec le psychiatre en raison de problèmes de maîtrise de français et avoir préféré consulter un psychiatre parlant le serbo-croate. En octobre 2019, la doctoresse E______, spécialiste FMH en psychiatrie et psychothérapie, a confirmé à la Cour avoir commencé à suivre le recourant le 16 septembre 2019. 18.    Le 22 novembre 2019, ce médecin a adressé à la Cour de céans un rapport dont il ressort que les diagnostics suivants étaient retenus : trouble dépressif récurrent épisode léger sans syndrome somatique et trouble panique. De la brève anamnèse, il ressort qu'aux dires du patient, celui-ci a été suivi, entre 2003 et 2006, par la consultation de la Servette pour un stress post-traumatique et un trouble panique. Le médecin indique que les atteintes à la santé se répercutent sur l'assuré de la manière suivante : le caractère fluctuant de son humeur le rend parfois apathique et occasionne un manque d'énergie et une fatigue extrême. Le patient a beaucoup de peine à se projeter dans l'avenir et à occuper un poste de travail à plein temps. Il souffre d'un rhumatisme chronique et de maux de dos. D'un point de vue strictement psychiatrique, le stress post-traumatique n'a pas d'impact sur la capacité de travail, contrairement au trouble dépressif récurrent épisode léger sans syndrome somatique : le médecin évalue la capacité de travail à 80% en janvier 2020, sous réserve d'une éventuelle péjoration vu la fluctuation de l'état de son patient et ce, en raison d'une apathie, d'une fatigue et d'une diminution du fonctionnement cognitif. Aucun traitement psychotrope n'a été instauré. 19.    Ce rapport a été soumis à l'intimé qui, le 18 décembre 2019, a persisté dans ses conclusions après avoir recueilli l'avis du SMR. Celui-ci conteste le diagnostic de trouble dépressif récurrent en l'absence de mise en évidence d'un épisode dépressif antérieur ayant guéri. Pour le reste, il relève que l'épisode dépressif est décrit comme léger, d'une part, que tous les critères pour retenir le diagnostic ne sont pas réalisés (pas de description de diminution de l'intérêt et du plaisir, de diminution de l'estime de soi et de la confiance en soi, pas d'idée de culpabilisation ou de dévalorisation, pas de trouble du sommeil ou de l'appétit, pas d'idées suicidaires, pas d'attitude pessimiste), d'autre part. Qui plus est, aucun traitement psychotrope n'est administré. Quant au trouble panique, il n'est pas décrit comme incapacitant, pas plus que le stress post-traumatique. Le psychiatre a évalué la capacité de travail dans l'activité habituelle à 80% depuis janvier 2020, soit un taux moins favorable à l'assuré que celui retenu par le SMR (0%). Les limitations fonctionnelles décrites par le psychiatre (apathie et fatigue) ne sont pas mises en évidence à l'examen clinique. Les troubles cognitifs semblent légers. La description des activités quotidiennes ne met pas en évidence d'empêchement manifeste. On ne peut dès lors retenir d'atteinte psychiatrique incapacitante chez l'assuré, d'autant moins qu'elle semble au demeurant légère et réactionnelle aux atteintes somatiques.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du 18 mars 2011 de la loi fédérale sur l'assurance-invalidité (révision 6a), entrées en vigueur le 1 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4.        Interjeté dans les forme et délai prévus par la loi, le recours est recevable (art. 56 LPGA; art. 62 al. 1 de la de loi sur la procédure administrative du 12 septembre 1985 [LPA - E 5 10]). 5.        Le litige porte sur le droit de l'assuré à des prestations de l'assurance-invalidité, en particulier sur l'évaluation de sa capacité de travail et de gain.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8.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    En l'espèce, la Cour de céans constate que le diagnostic de fibromyalgie a été posé par un médecin spécialiste. Le SMR ne pouvait dès lors, sans examen et au seul motif que les nouvelles normes diagnostiques n'auraient pas été appliquées, s'en écarter purement et simplement comme il l'a fait. En effet, en admettant même que les nouveaux critères diagnostiques aient été ignorés, cela n'implique pas pour autant que le diagnostic soit erroné. A tout le moins aurait-il fallu interpeller le spécialiste ou faire examiner l'assuré par un autre médecin spécialisé afin d'infirmer ou confirmer le diagnostic en question. En outre, le diagnostic de trouble dépressif léger a également été retenu par un médecin spécialiste. Là encore, le SMR l'a écarté sans autre, sans interpeller le médecin en question. Au vu du dossier, force est de constater que la capacité de travail réellement exigible n'a pas été évaluée dans le cadre d'une procédure d'établissement des faits structurée et sans résultat prédéfini, permettant de mettre en regard les facteurs extérieurs incapacitants d'une part et les ressources de compensation de la personne d'autre part. Tout examen de ce type fait défaut, alors même qu'un diagnostic de fibromyalgie et un autre de trouble psychique ont été posés par des spécialistes. C'est le lieu de rappeler qu'un rapport du SMR a pour fonction d'opérer la synthèse des renseignements médicaux versés au dossier et de prendre position à leur sujet, mais qu'il convient de poser des exigences strictes en matière de preuve concernant de tels documents et qu'une expertise doit être ordonnée si des doutes, même faibles, subsistent quant à la fiabilité ou à la pertinence des constatations effectuées par le SMR, ce qui est le cas en l'occurrence, pour les raisons qui viennent d'être mentionnées. Au vu de ce qui précède, le recours est partiellement admis et la décision litigieuse annulée. La cause est renvoyée à l'intimé pour mise sur pied d'une expertise rhumato-psychiatrique permettant de déterminer si les nouveaux indicateurs posés par la jurisprudence sont ou non remplis et quelle est la capacité réelle de travail de l'assuré dans une activité adaptée. Etant donné que, depuis le 1 er juillet 2006, la procédure n'est plus gratuite (art. 69 al. 1 bis LAI), au vu du sort du recours, il y a lieu de condamner l'intimé au paiement d'un émolument de CHF 400.-.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