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A/3844/2009 vom 4. März 2010</w:t>
      </w:r>
    </w:p>
    <w:p>
      <w:r>
        <w:t>GE Cour de justice, 2010-03-04, FR</w:t>
      </w:r>
    </w:p>
    <w:p>
      <w:r>
        <w:rPr>
          <w:b/>
        </w:rPr>
        <w:t xml:space="preserve">Quelle: </w:t>
      </w:r>
      <w:r>
        <w:t>https://mcp.opencaselaw.ch/entscheid/ge_gerichte_A_3844_2009</w:t>
      </w:r>
    </w:p>
    <w:p>
      <w:r>
        <w:t>FR: GE_GERICHTE A/3844/2009 du 4 mars 2010</w:t>
      </w:r>
    </w:p>
    <w:p>
      <w:r>
        <w:t>IT: GE_GERICHTE A/3844/2009 del 4 marzo 2010</w:t>
      </w:r>
    </w:p>
    <w:p>
      <w:pPr>
        <w:pStyle w:val="Heading2"/>
      </w:pPr>
      <w:r>
        <w:t>Regeste</w:t>
      </w:r>
    </w:p>
    <w:p>
      <w:r>
        <w:t>Faillite. Vente de gré à gré. Récusation. | Plainte rejetée. Les conditions de l'art. 256 LP ont été respectées, notamment quant au délai laissé aux créanciers pour surenchérir. Rejet de la demande de récusation du chargé de faillite avec lequel il entretient des relations difficiles dans la liquidation de cette faillite. Recours au Tribunal fédéral rejeté par arrêt | LP.10; LP.231; LP.256</w:t>
      </w:r>
    </w:p>
    <w:p>
      <w:pPr>
        <w:pStyle w:val="Heading2"/>
      </w:pPr>
      <w:r>
        <w:t>Erwägungen</w:t>
      </w:r>
    </w:p>
    <w:p>
      <w:r>
        <w:rPr>
          <w:b/>
        </w:rPr>
        <w:t>E. 1</w:t>
      </w:r>
    </w:p>
    <w:p>
      <w:r>
        <w:t>La rejette dans la mesure de sa recevabilité.</w:t>
      </w:r>
    </w:p>
    <w:p>
      <w:r>
        <w:rPr>
          <w:b/>
        </w:rPr>
        <w:t>E. 2</w:t>
      </w:r>
    </w:p>
    <w:p>
      <w:r>
        <w:t>Déboute les parties de toutes autres conclusions. Siégeant : M. Philippe GUNTZ, président ;  M. Didier BROSSET et Mme Florence CASTELLA,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