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A/3844/2005 vom 15. Januar 2004</w:t>
      </w:r>
    </w:p>
    <w:p>
      <w:r>
        <w:t>GE Cour de justice, 2004-01-15, FR</w:t>
      </w:r>
    </w:p>
    <w:p>
      <w:r>
        <w:rPr>
          <w:b/>
        </w:rPr>
        <w:t xml:space="preserve">Quelle: </w:t>
      </w:r>
      <w:r>
        <w:t>https://mcp.opencaselaw.ch/entscheid/ge_gerichte_A_3844_2005</w:t>
      </w:r>
    </w:p>
    <w:p>
      <w:r>
        <w:t>FR: GE_GERICHTE A/3844/2005 du 15 janvier 2004</w:t>
      </w:r>
    </w:p>
    <w:p>
      <w:r>
        <w:t>IT: GE_GERICHTE A/3844/2005 del 15 gennaio 2004</w:t>
      </w:r>
    </w:p>
    <w:p>
      <w:pPr>
        <w:pStyle w:val="Heading2"/>
      </w:pPr>
      <w:r>
        <w:t>Erwägungen</w:t>
      </w:r>
    </w:p>
    <w:p>
      <w:r>
        <w:rPr>
          <w:b/>
        </w:rPr>
        <w:t>E. 1</w:t>
      </w:r>
    </w:p>
    <w:p>
      <w:r>
        <w:t>Par courrier du 28 octobre 2005, Monsieur M__________ a recouru auprès du Tribunal administratif contre une décision rendue le 19 septembre 2005 par la commission cantonale de recours en matière d’impôts (ci-après : la CCRMI) admettant partiellement son recours contre une décision sur réclamation du 15 janvier 2004 émanant de l’administration fiscale cantonale.</w:t>
      </w:r>
    </w:p>
    <w:p>
      <w:r>
        <w:rPr>
          <w:b/>
        </w:rPr>
        <w:t>E. 2</w:t>
      </w:r>
    </w:p>
    <w:p>
      <w:r>
        <w:t>Le 3 novembre 2005, par pli simple et lettre signature, le tribunal de céans a invité l’intéressé à lui faire parvenir, avant l’échéance du délai de recours, ses conclusions. Le recours, qui reprenait simplement le courrier adressé à la CCRMI contre la décision du 15 janvier 2004, ne contenait en effet aucune conclusion relative à la décision du 19 septembre 2005. Le recourant devait en outre indiquer à quelle date cette dernière lui avait été signifiée. Enfin, un délai au 14 novembre 2005 lui était imparti pour transmettre les pièces dont il entendait se prévaloir. Son attention a été expressément attirée sur la conséquence d’une absence de réponse à ces demandes, soit l’irrecevabilité du recours.</w:t>
      </w:r>
    </w:p>
    <w:p>
      <w:r>
        <w:rPr>
          <w:b/>
        </w:rPr>
        <w:t>E. 3</w:t>
      </w:r>
    </w:p>
    <w:p>
      <w:r>
        <w:t>Aucune suite n’a été donnée à ce courrier qui n’est pas venu en retour. EN DROIT 1. Selon l’article 65 alinéa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ces dispositions,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certitudes les fins du recourant ( ATA/172/2001 du 13 mars 2001 ; G. du 27 septembre 1989 ; Société T. du 13 avril 1988). Par ailleurs, l’absence de conclusions au sens de ce qui précède ne peut être réparée que dans le délai de recours. Hors ce délai, le fait d’être autorisé à compléter une écriture de recours (art. 65 al. 3 LPA) ne permet pas de suppléer au défaut de conclusions (SJ 1997 p. 42). Quant à l’exigence de motivation de l’article 65 alinéa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par exemple pas d’affirmer qu’une amende administrative est injustifiée sans expliquer la raison de ce grief (ATA M. du 15 février 1994), ou de reprocher simplement à une décision de constituer un excès du pouvoir d’appréciation de l’autorité qui l’a rendue (ATA F. du 8 septembre 1992). En principe, la reprise pure et simple des arguments soumis à l’autorité précédente ne constitue pas – de même que le renvoi global aux écritures antérieures – une motivation topique suffisante (ATF 118 Ib 134 ). En l’espèce, l’acte de recours ne contient ni conclusions ni motivation, ni moyens de preuve relatifs à la décision querellée. Le recourant n’a pas donné suite au courrier l’invitant à compléter ses écritures. Partant, le recours ne peut aujourd’hui qu’être déclaré irrecevable. 2. Au vu de cette issue,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