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A/3843/2021 vom 29. Juni 2022</w:t>
      </w:r>
    </w:p>
    <w:p>
      <w:r>
        <w:t>GE Cour de justice, 2022-06-29, FR</w:t>
      </w:r>
    </w:p>
    <w:p>
      <w:r>
        <w:rPr>
          <w:b/>
        </w:rPr>
        <w:t xml:space="preserve">Quelle: </w:t>
      </w:r>
      <w:r>
        <w:t>https://mcp.opencaselaw.ch/entscheid/ge_gerichte_A_3843_2021</w:t>
      </w:r>
    </w:p>
    <w:p>
      <w:r>
        <w:t>FR: GE_GERICHTE A/3843/2021 du 29 juin 2022</w:t>
      </w:r>
    </w:p>
    <w:p>
      <w:r>
        <w:t>IT: GE_GERICHTE A/3843/2021 del 29 giugno 2022</w:t>
      </w:r>
    </w:p>
    <w:p>
      <w:pPr>
        <w:pStyle w:val="Heading2"/>
      </w:pPr>
      <w:r>
        <w:t>Erwägungen</w:t>
      </w:r>
    </w:p>
    <w:p>
      <w:r>
        <w:rPr>
          <w:b/>
        </w:rPr>
        <w:t>E. 3</w:t>
      </w:r>
    </w:p>
    <w:p>
      <w:r>
        <w:t>Le 1 er janvier 2021, est entrée en vigueur la modification du 21 juin 2019 de la LPGA. ![endif]&gt;![if&gt;</w:t>
      </w:r>
    </w:p>
    <w:p>
      <w:r>
        <w:rPr>
          <w:b/>
        </w:rPr>
        <w:t>E. 4</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ci-après dans leur ancienne teneur.</w:t>
      </w:r>
    </w:p>
    <w:p>
      <w:r>
        <w:rPr>
          <w:b/>
        </w:rPr>
        <w:t>E. 5</w:t>
      </w:r>
    </w:p>
    <w:p>
      <w:r>
        <w:t>Interjeté dans la forme et le délai prévus par la loi, le recours est recevable.![endif]&gt;![if&gt;</w:t>
      </w:r>
    </w:p>
    <w:p>
      <w:r>
        <w:rPr>
          <w:b/>
        </w:rPr>
        <w:t>E. 6</w:t>
      </w:r>
    </w:p>
    <w:p>
      <w:r>
        <w:t>Le litige porte sur le bien-fondé du refus de l'intimé d'octroyer de nouvelles mesures professionnelles au recourant, mesures qui lui avaient déjà été refusées formellement par décision du 8 novembre 2017.![endif]&gt;![if&gt;</w:t>
      </w:r>
    </w:p>
    <w:p>
      <w:r>
        <w:rPr>
          <w:b/>
        </w:rPr>
        <w:t>E. 7</w:t>
      </w:r>
    </w:p>
    <w:p>
      <w:r>
        <w:t>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présuppose qu'elle soit appropriée au but de la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9C_59/2017 du 21 juin 2017 consid. 3.3 et les références), une telle procédure préalable n'étant requise que si une mesure de réadaptation a été commencée et qu'il est question de l'interrompre (cf.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 Sont réputées nécessaires et appropriées toutes les mesures de réadaptation professionnelle qui contribuent directement à favoriser la réadaptation dans la vie active .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Se pose en premier lieu la question de savoir si l'assuré est invalide ou menacé d'une invalidité permanente (art. 28 al. 1 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139 V 399 consid. 5.3 ; arrêt du Tribunal fédéral 9C_500/2020 du 1 er mars 2021 consid. 2 et les références), la question reste ouverte s'agissant des autres mesures d'ordre professionnel prévues par la loi (cf. arrêt du Tribunal fédéral 9C_464/2009 du 31 mai 2010). Selon l’art. 8 a LAI entré en vigueur le 1 er janvier 2012, les bénéficiaires de rente ont droit à des mesures de nouvelle réadaptation si leur capacité de gain peut, selon toute vraisemblance, être améliorée et ces mesures sont de nature à améliorer leur capacité de gain (al. 1). Les mesures de nouvelle réadaptation destinées aux bénéficiaires de rente comprennent des mesures de réinsertion préparant à la réadaptation professionnelle telles que prévues à l’art. 14 a al. 2 LAI, des mesures d’ordre professionnel telles que prévues aux art. 15 à 18 c LAI, la remise de moyens auxiliaires conformément aux art. 21 à 21 quater LAI, l’octroi de conseils et d’un suivi aux bénéficiaires de rente et à leur employeur (al. 2). Les mesures de réinsertion peuvent être accordées plusieurs fois et excéder la durée d’un an au total (al. 3).</w:t>
      </w:r>
    </w:p>
    <w:p>
      <w:r>
        <w:rPr>
          <w:b/>
        </w:rPr>
        <w:t>E. 8</w:t>
      </w:r>
    </w:p>
    <w:p>
      <w:r>
        <w:t>En l'espèce, le recourant insiste depuis de nombreuses années pour obtenir de nouvelles mesures de réadaptation professionnelle. Il argue que son état s'est amélioré, qu'il a mûri et qu'il est très motivé. ![endif]&gt;![if&gt; L'intimé considère quant à lui, suivant en cela l'avis du SMR, que l’état de santé de l’assuré ne s'est pas modifié depuis la dernière décision entrée en force, en novembre 2017, et qu'au vu des difficultés rencontrées par le recourant, des mesures d’ordre professionnel ne sont pas de nature à améliorer sa capacité de gain. Le recourant produit il est vrai, une brève attestation du Dr C______ et un courrier de son médecin traitant confirmant que leur patient est motivé et capable de suivre une formation. Si l'on peut comprendre que le médecin traitant et le neurologue souhaitent appuyer leur patient dans sa démarche, force est cependant de constater que le neurologue précise que la formation devrait être « adaptée à ses capacités neurocognitives » et que le médecin traitant n’envisage qu'une capacité de 50% et à condition que ce soit dans un poste avec un stress minimum et des tâches peu ou moyennement compliquées. Qui plus est, on cherche en vain dans le rapport du 26 novembre 2020 du Dr C______ l'amélioration alléguée par le médecin traitant. Bien au contraire, le neurologue indique que le dernier bilan neuropsychologique a mis en évidence une péjoration des performances en mémoire épisodique visuelle et plus légèrement en mémoire épisodique verbale, la persistance d’un déficit attentionnel et l’amélioration des performances en mémoire de travail verbale. Il conclut que les difficultés attentionnelles de son patient, associées au léger retard mental, compromettent la réussite d’une formation classique et, s'il envisage une formation au vu de la motivation manifestée par l'assurée, il évoque la Fondation Intégration pour Tous, à savoir une formation non classique et spécialisée, n'ouvrant guère de possibilités sur le marché du travail ordinaire. Dans ces circonstances, on ne saurait reprocher au SMR d'avoir considéré que les difficultés de l'assuré compromettaient clairement la réussite d’une formation classique visant l’économie libre et que la capacité de travail à laquelle faisait référence le médecin traitant n’était a priori pas exploitable. Les conditions de formation et de travail décrites par les médecins ne correspondent pas à des conditions ordinaires, mais bien à des formations spécialisées et à des emplois de type protégé. Or, des mesures de réadaptation professionnelle doivent non seulement être nécessaires et de nature à rétablir, maintenir ou améliorer la capacité de gain ou la capacité à accomplir les travaux habituels, mais aussi ne pas être dénuées de chances de succès. Par ailleurs, on rappellera que n’entrent en considération, pour l’octroi de prestations, que les mesures qui correspondent aux capacités et, dans la mesure du possible, aux dispositions des assurés et qui visent à atteindre le but de la réadaptation de manière simple et adéquate. Cette exigence implique un rapport raisonnable entre, d’une part, la durée et les coûts de la mesure et, d’autre part, le résultat économique (au sens de l’efficacité de la réadaptation). La formation professionnelle répondra en outre aux exigences du marché du travail et aura lieu autant que possible sur le marché primaire de l’emploi. (cf. chiffre 1006 de la Circulaire sur les mesures de réadaptation d'ordre professionnel éditées par l'Office fédéral des assurances sociales le 1 er janvier 2014 [CMRP]). Le recourant, dans la mesure où il demande la prise en charge de trois ans de formation classique en informatique ou aboutissant à l'octroi d'un certificat fédéral de capacité d'employé de commerce que ses difficultés cognitives ne lui permettront vraisemblablement pas d'obtenir, malgré toute la motivation dont il fait preuve – et qu'il convient de saluer -, ne saurait se voir exaucé. Il ressort des documents médicaux versés au dossier et des considérations qui précèdent que l'état de santé de l'assuré ne s'est pas modifié au point de considérer les conditions d'octroi de mesures professionnelles comme remplies.</w:t>
      </w:r>
    </w:p>
    <w:p>
      <w:r>
        <w:rPr>
          <w:b/>
        </w:rPr>
        <w:t>E. 9</w:t>
      </w:r>
    </w:p>
    <w:p>
      <w:r>
        <w:t>Au vu de ce qui précède, le recours est rejeté.![endif]&gt;![if&gt;</w:t>
      </w:r>
    </w:p>
    <w:p>
      <w:r>
        <w:rPr>
          <w:b/>
        </w:rPr>
        <w:t>E. 9.1</w:t>
      </w:r>
    </w:p>
    <w:p>
      <w:r>
        <w:t>![endif]&gt;![if&gt;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