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A/3838/2024 vom 20. Juni 2025</w:t>
      </w:r>
    </w:p>
    <w:p>
      <w:r>
        <w:t>GE Cour de justice, 2025-06-20, FR</w:t>
      </w:r>
    </w:p>
    <w:p>
      <w:r>
        <w:rPr>
          <w:b/>
        </w:rPr>
        <w:t xml:space="preserve">Quelle: </w:t>
      </w:r>
      <w:r>
        <w:t>https://mcp.opencaselaw.ch/entscheid/ge_gerichte_A_3838_2024</w:t>
      </w:r>
    </w:p>
    <w:p>
      <w:r>
        <w:t>FR: GE_GERICHTE A/3838/2024 du 20 juin 2025</w:t>
      </w:r>
    </w:p>
    <w:p>
      <w:r>
        <w:t>IT: GE_GERICHTE A/3838/2024 del 20 giugno 2025</w:t>
      </w:r>
    </w:p>
    <w:p>
      <w:pPr>
        <w:pStyle w:val="Heading2"/>
      </w:pPr>
      <w:r>
        <w:t>Erwägungen</w:t>
      </w:r>
    </w:p>
    <w:p>
      <w:r>
        <w:rPr>
          <w:b/>
        </w:rPr>
        <w:t>E. 2</w:t>
      </w:r>
    </w:p>
    <w:p>
      <w:r>
        <w:t>Le litige porte sur la conformité au droit de l’amende administrative infligée aux époux pour sous-enchère salariale. La recourante « ne conteste pas la potentielle sous-enchère », mais uniquement revêtir le statut d'employeuse à l'égard de l'employée domestique du couple concernée par la procédure.</w:t>
      </w:r>
    </w:p>
    <w:p>
      <w:r>
        <w:rPr>
          <w:b/>
        </w:rPr>
        <w:t>E. 2.1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 L’appréciation de ces indices concrets par le juge, selon l'expérience générale de la vie, relève du fait. S’il ne parvient pas à déterminer la volonté réelle et commune des parties, parce que les preuves font défaut ou ne sont pas concluantes, ou s’il constate qu’une partie n’a pas compris la volonté exprimée par l’autre au moment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(ATF 144 III 93 consid. 5.2.3).</w:t>
      </w:r>
    </w:p>
    <w:p>
      <w:r>
        <w:rPr>
          <w:b/>
        </w:rPr>
        <w:t>E. 2.2</w:t>
      </w:r>
    </w:p>
    <w:p>
      <w:r>
        <w:t>La LDét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2.3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r>
        <w:rPr>
          <w:b/>
        </w:rPr>
        <w:t>E. 2.4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 e éd., 2019, p. 155). Ce pouvoir de direction est exercé par l’employeur lui-même, mais il peut être délégué en partie ou entièrement à un tiers (arrêt du Tribunal fédéral 4A_344/2015 du 10 décembre 2015 consid. 3.4).</w:t>
      </w:r>
    </w:p>
    <w:p>
      <w:r>
        <w:rPr>
          <w:b/>
        </w:rPr>
        <w:t>E. 2.5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 [éd.], Commentaire romand - Code des obligations, 3 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2.6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 arrêt du Tribunal fédéral 4C.41/1999 précité consid. 5b ; ATA/634/2025 du 5 juin 2025 consid. 4.6). Dans le domaine du travail domestique, la jurisprudence tant en matière administrative que civile a retenu la qualité d'employeuse d'une recourante qui donnait régulièrement à l'employée de maison de sa mère des instructions sur la manière d'effectuer son travail ( ATA/634/2025 précité consid. 4.6 ; ATA/1138/2024 du 27 septembre 2024 consid. 3.6 et les arrêts cités). La chambre administrative a considéré qu'une recourante, qui avait recruté deux employés de maison pour s’occuper de feu son père revêtait la qualité d’employeuse. Il ressortait notamment des échanges de la messagerie WhatsApp et des déclarations concordantes des employées que la recourante planifiait, organisait et assurait un contrôle strict de la bonne exécution des tâches quotidiennes. Elle avait même réprimandé un employé qui s'était adressé à feu son père et non à elle pour entamer une négociation à la hausse de son salaire. Quand bien même il convenait de retenir un lien de subordination des employés à l'égard du défunt, il apparaissait que ledit lien était tout aussi voire plus important avec la recourante qu’avec feu son père. Peu importait, conformément à la jurisprudence précitée, que les salaires des employés aient été essentiellement payés avec les deniers du père de la recourante ( ATA/949/2024 du 14 août 2024 consid. 6.3 ; ATA/555/2024 du 3 mars 2024 consid. 2.7).</w:t>
      </w:r>
    </w:p>
    <w:p>
      <w:r>
        <w:rPr>
          <w:b/>
        </w:rPr>
        <w:t>E. 2.7</w:t>
      </w:r>
    </w:p>
    <w:p>
      <w:r>
        <w:t>En l'espèce, même si son contrat de travail, d'un point de vue strictement formel, a été signé avec la mère de l'époux, il n'est pas contesté que l'employée a travaillé au domicile genevois et pour le ménage des époux. Il lui arrivait par ailleurs de travailler « au service » de la mère de la recourante à Paris. L'intimé a considéré la recourante comme une employeuse à la lumière de ses propres constatations. Cette qualification est rendue vraisemblable à l'examen des éléments du dossier. Il ressort en effet des échanges de messages WhatsApp entre l'agence de placement O______ (ci‑après : l'agence) et l'employée que cette dernière a été reçue en entretien et recrutée par la recourante. C'est également à celle-ci que l'agence a envoyé le projet de contrat de travail. La recourante, après avoir « vérifi[é] auprès de son avocat plusieurs points », a répondu à l'employée le 5 décembre 2022 : « nous vous embaucherons et vous commencerez le 15 décembre. Si vous êtes très motivée à travailler pour nous alors vous travaillerez pour nous ». Elle lui a envoyé son contrat le lendemain, en la priant de le lui remettre signé. La recourante ne peut être suivie lorsqu'elle allègue qu'elle n'avait pas connaissance des modalités de rémunération de l'employée et que son époux gérait seul « l'ensemble des aspects administratifs et financiers ». On peut citer, par exemple, un message WhatsApp du 28 août 2022 par lequel la recourante a établi un « [d]écompte » de EUR 1'200.- en faveur de l'employée, pour plusieurs journées de travail ainsi que des frais liés au train et aux péages. Le 6 septembre 2022, elle lui a proposé un forfait de EUR 300.- par jour pour un travail « live-in ». En outre, lorsque l'employée lui a posé des questions le 3 décembre 2022 sur le salaire prévu dans son contrat de travail, elle lui a répondu qu'elle lui verserait sur son compte EUR 2'539.70 et lui donnerait en espèces EUR 1'460.30. Le 24 décembre 2022, l'employée lui a transmis ses coordonnées bancaires. Après que la recourante eut payé une séance de gymnastique le 18 avril 2023, alors que sa fille n'y était pas allée, elle a organisé un « [d]ébrief » pour reparler de l'incident et prévenu l'employée qu'elle « déduirai[t] la séance non honorée de [son] salaire » la prochaine fois. Un message WhatsApp du 12 juin 2023 confirme que la recourante a discuté avec l'employée de calculs en lien avec le prélèvement de l'impôt à la source sur son salaire mensuel. Dans un courriel à l'employée du 25 août 2023, elle a indiqué être « en contact avec Chèque Service pour le calcul de [son] solde de tout compte ». Enfin, l'employée a informé Chèque Service le 13 novembre 2023 qu'elle avait reçu un certificat de salaire qui lui avait été transmis par la recourante. De surcroît, les nombreux échanges WhatsApp entre la recourante et l'employée versés au dossier démontrent que le travail de la seconde était organisé en fonction des instructions de la première. Celle-ci échangeait quotidiennement avec l'employée afin d'organiser les journées de ses enfants et de contrôler la bonne exécution des tâches. Il existait des groupes WhatsApp intitulés « Nannies's C______ » ou « D______'s Diary », créés par la recourante pour « faciliter les échanges » avec les employées de maison – dans lesquels elle n'avait d'ailleurs pas ajouté son époux. L'employée devait la prévenir de tout problème concernant les enfants et ajuster ses horaires de travail en fonction de la prise en charge de ceux‑ci, conformément à sa demande. La recourante définissait ses tâches, comme l'illustre un message WhatsApp du 1 er décembre 2022 : « Il vous incombe dans votre fonction d'être toujours alert[e] et de vérifier régulièrement la bonne taille : - des vêtements - des souliers (très important) Etc. […] Ce n'est pas à moi de le faire ». C'est également elle qui accordait à l'employée ses vacances et congés. Quoi qu'en dise la recourante, il apparaît que l'employée elle-même la considérait comme son employeuse. Ainsi, elle racontait à l'agence le 14 août 2023 : « je termine à 8h mon contrat avec [M]adame A______ ». L'agence lui rappelait par ailleurs que les questions liées aux salaires et aux déclarations relevaient directement de sa relation avec son employeuse, « qui [était] Madame A______ ». Dans ce contexte, le seul fait que le salaire soit versé sur le compte bancaire de l'employée depuis le compte bancaire de l'époux ne saurait suffire à considérer que ce dernier était son employeur exclusif. À l'exception de cet aspect, l'ensemble de la relation de travail était dirigé par la recourante. Par un message WhatsApp du 29 mars 2023, celle-ci l'a même mise en garde contre l'éventuelle résiliation de son contrat de travail dans les termes suivants, après qu'elle eut découvert que l'employée avait emprunté de l'argent en espèces pour des besoins personnels : « Sachez que je préfère que vous me demandiez et vous seriez très agréablement surprise de mon retour. Par contre, si je découvre [quoi que] ce soit de préjudiciable même infime. Je prendrai une décision radicale […] point de non[-]retour ». Enfin, la recourante soutient avoir agi tout au plus en qualité d'intermédiaire ou de « porte-parole » de son époux. Or, il ne ressort pas du dossier qu'elle n'aurait fait que transmettre les instructions de celui-ci. Force est de constater, au contraire, qu'elle avait un pouvoir de décision au moins aussi important que lui. Au vu de ce qui précède, vu le lien de subordination liant la recourante et l'employée, la première agissait bel et bien en qualité d'employeuse de la seconde. C'est dès lors à juste titre que l'intimé lui a également adressé la décision querellée. Partant, ce grief sera écarté. Pour le surplus, le fait que la recourante se trouvait déjà, selon elle, dans une situation de précarité, sans aucun revenu, et devait s'occuper de ses deux enfants en bas âge en raison de la mise en détention provisoire de son époux ne change rien aux constats qui précèdent, et donc à sa qualité d'employeuse, étant relevé que la recourante ne conteste pas le montant de l'amende qui lui a été infligée. Elle qualifie les conséquences économiques de la décision querellée de « funestes » pour elle, mais ne les démontre pas. La résiliation du bail du grand appartement de huit pièces dans lequel la famille logeait, en particulier, ne prouve pas encore son allégation selon laquelle cette amende de CHF 5'000.- prononcée à l'encontre des époux « mett[rait] en danger [son] minimum vital ». Mal fondé, le recours sera rejeté.</w:t>
      </w:r>
    </w:p>
    <w:p>
      <w:r>
        <w:rPr>
          <w:b/>
        </w:rPr>
        <w:t>E. 3</w:t>
      </w:r>
    </w:p>
    <w:p>
      <w:r>
        <w:t>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