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A/3831/2005 vom 15. September 2005</w:t>
      </w:r>
    </w:p>
    <w:p>
      <w:r>
        <w:t>GE Cour de justice, 2005-09-15, FR</w:t>
      </w:r>
    </w:p>
    <w:p>
      <w:r>
        <w:rPr>
          <w:b/>
        </w:rPr>
        <w:t xml:space="preserve">Quelle: </w:t>
      </w:r>
      <w:r>
        <w:t>https://mcp.opencaselaw.ch/entscheid/ge_gerichte_A_3831_2005</w:t>
      </w:r>
    </w:p>
    <w:p>
      <w:r>
        <w:t>FR: GE_GERICHTE A/3831/2005 du 15 septembre 2005</w:t>
      </w:r>
    </w:p>
    <w:p>
      <w:r>
        <w:t>IT: GE_GERICHTE A/3831/2005 del 15 settembre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w:t>
      </w:r>
    </w:p>
    <w:p>
      <w:r>
        <w:rPr>
          <w:b/>
        </w:rPr>
        <w:t>E. 3</w:t>
      </w:r>
    </w:p>
    <w:p>
      <w:r>
        <w:t>En l’espèce, le juge de première instance a ordonné le partage par moitié des avoirs de prévoyance des demandeurs. Les dates pertinentes sont, d’une part, celle du mariage, le 9 juillet 1977, d’autre part le 18 octobre 2005, date à laquelle le jugement de divorce est devenu exécutoire. Selon les documents produits, la prestation acquise pendant le mariage par le demandeur est de Fr. 636'180.- (200'000.- + 436'180.-). La moitié de ce montant, soit Fr. 318'090.-, revient à la demanderesse. L'avoir de prévoyance accumulé par cette dernière durant le mariage s'élève à Fr. 143'441.20 (80'000.- + 63'441.20). Étant donné qu'elle doit la moitié - Fr. 71'720.60 - au demandeur, c'est finalement à ce dernier de verser à son ex-épouse le montant de Fr. 246'369.40, dont il convient encore de déduire les Fr. 200'000.- investis dans la maison, restée propriété de la demanderesse. En conclusion, le demandeur devra donc verser à la demanderesse la somme de Fr. 46'369.40 et non pas seulement Fr. 22'000.-. Il n'y a en effet pas lieu de tenir compte, dans le cadre du partage des avoirs de prévoyance, des frais allégués par le demandeur, lesquels n'ont d'ailleurs pas été pris en compte par le TPI lorsqu'il a décidé de la clé de répartition.</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