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A/3828/2017 vom 21. August 2018</w:t>
      </w:r>
    </w:p>
    <w:p>
      <w:r>
        <w:t>GE Cour de justice, 2018-08-21, FR</w:t>
      </w:r>
    </w:p>
    <w:p>
      <w:r>
        <w:rPr>
          <w:b/>
        </w:rPr>
        <w:t xml:space="preserve">Quelle: </w:t>
      </w:r>
      <w:r>
        <w:t>https://mcp.opencaselaw.ch/entscheid/ge_gerichte_A_3828_2017</w:t>
      </w:r>
    </w:p>
    <w:p>
      <w:r>
        <w:t>FR: GE_GERICHTE A/3828/2017 du 21 août 2018</w:t>
      </w:r>
    </w:p>
    <w:p>
      <w:r>
        <w:t>IT: GE_GERICHTE A/3828/2017 del 21 agosto 2018</w:t>
      </w:r>
    </w:p>
    <w:p>
      <w:pPr>
        <w:pStyle w:val="Heading2"/>
      </w:pPr>
      <w:r>
        <w:t>Erwägungen</w:t>
      </w:r>
    </w:p>
    <w:p>
      <w:r>
        <w:rPr>
          <w:b/>
        </w:rPr>
        <w:t>E. 2</w:t>
      </w:r>
    </w:p>
    <w:p>
      <w:r>
        <w:t>L'épouse de M. A______, Mme C______, qui exploite avec lui le magasin, était titulaire d'une autorisation pour la vente à l'emporter d'alcool fermenté et distillé, délivrée le 9 décembre 2014 par le service du commerce, devenu entretemps le service de police du commerce et de lutte contre le travail au noir (ci-après : PCTN), et valable jusqu'au 9 décembre 2017.![endif]&gt;![if&gt;</w:t>
      </w:r>
    </w:p>
    <w:p>
      <w:r>
        <w:rPr>
          <w:b/>
        </w:rPr>
        <w:t>E. 3</w:t>
      </w:r>
    </w:p>
    <w:p>
      <w:r>
        <w:t>Suite à un constat de police effectué le 27 octobre 2013, un avertissement a été notifié à M. A______ le 11 novembre 2013, pour vente d'alcool en dehors des heures autorisées (01h55).![endif]&gt;![if&gt;</w:t>
      </w:r>
    </w:p>
    <w:p>
      <w:r>
        <w:rPr>
          <w:b/>
        </w:rPr>
        <w:t>E. 4</w:t>
      </w:r>
    </w:p>
    <w:p>
      <w:r>
        <w:t>Suite à un constat de police effectué le 19 février 2014, un second avertissement a été notifié à M. A______ le 6 mars 2014, pour vente d'alcool en dehors des heures autorisées (21h20).![endif]&gt;![if&gt;</w:t>
      </w:r>
    </w:p>
    <w:p>
      <w:r>
        <w:rPr>
          <w:b/>
        </w:rPr>
        <w:t>E. 5</w:t>
      </w:r>
    </w:p>
    <w:p>
      <w:r>
        <w:t>Un nouveau rapport a été établi par la police le 22 juillet 2014, qui portait sur de nouveaux constats de vente d'alcool en dehors des heures autorisées, effectués les 3 et 16 juillet 2014.![endif]&gt;![if&gt;</w:t>
      </w:r>
    </w:p>
    <w:p>
      <w:r>
        <w:rPr>
          <w:b/>
        </w:rPr>
        <w:t>E. 6</w:t>
      </w:r>
    </w:p>
    <w:p>
      <w:r>
        <w:t>Par décision du 1 er septembre 2014, le PCTN a prononcé la fermeture de l'établissement pour une durée de dix jours, décision qui n'a pas fait l'objet d'un recours et qui a été exécutée entre le 1 er et le 11 septembre 2014.![endif]&gt;![if&gt;</w:t>
      </w:r>
    </w:p>
    <w:p>
      <w:r>
        <w:rPr>
          <w:b/>
        </w:rPr>
        <w:t>E. 7</w:t>
      </w:r>
    </w:p>
    <w:p>
      <w:r>
        <w:t>Le 30 mars 2017, la police a établi un rapport de dénonciation concernant Mme et M. A______.![endif]&gt;![if&gt; Le vendredi 24 mars 2017 à 22h40, deux gendarmes avaient remarqué un groupe de jeunes gens attroupés devant le « B______ ». Un autre jeune homme se trouvait à l'intérieur et discutait avec M. A______. Il avait ensuite payé, mais sans rien emporter, puis avait hélé le groupe en disant : « Suivez-moi, on va récupérer la marchandise de l'autre côté du pâté de maisons ». Effectivement, dans une rue parallèle, un homme lui avait remis un sac contenant deux packs de six canettes de bière chacun. Interpellé, l'acheteur avait admis avoir acquis la bière auprès du kiosque de M. A______. Les policiers étaient revenus dans le kiosque, y avaient trouvé M. A______ en compagnie de Monsieur D______, soit l'homme ayant remis le sac contenant la bière. M. A______ avait tout d'abord admis avoir vendu de l'alcool aux jeunes gens avant 21h00, puis avait nié toute vente d'alcool. Avec beaucoup de réticence, il avait ouvert en sous-sol différentes portes permettant finalement d'atteindre la rue parallèle où la livraison avait été effectuée. L'alcool se trouvant dans la boutique n'était au surplus pas dissimulé à la vue du public, ni placé sous clef.</w:t>
      </w:r>
    </w:p>
    <w:p>
      <w:r>
        <w:rPr>
          <w:b/>
        </w:rPr>
        <w:t>E. 8</w:t>
      </w:r>
    </w:p>
    <w:p>
      <w:r>
        <w:t>Le 16 mai 2017, le PCTN a informé M. A______ que sur la base du rapport précité, il envisageait de lui infliger une mesure administrative. Un délai au 29 mai 2017 lui était fixé pour exercer son droit d'être entendu.![endif]&gt;![if&gt;</w:t>
      </w:r>
    </w:p>
    <w:p>
      <w:r>
        <w:rPr>
          <w:b/>
        </w:rPr>
        <w:t>E. 9</w:t>
      </w:r>
    </w:p>
    <w:p>
      <w:r>
        <w:t>Le 29 mai 2017, M. A______ a écrit au PCTN. Depuis la décision de fermeture de son établissement en 2014 il ne vendait plus d'alcool en dehors des heures autorisées. Le 24 mars 2017, il n'avait pas vendu de boissons alcoolisées après 21h00. Il ne savait pas qu'il convenait de mettre sous clef les boissons alcoolisées en dehors des heures autorisées ; il s'excusait de ne pas l'avoir fait et avait désormais remédié à la situation.![endif]&gt;![if&gt;</w:t>
      </w:r>
    </w:p>
    <w:p>
      <w:r>
        <w:rPr>
          <w:b/>
        </w:rPr>
        <w:t>E. 10</w:t>
      </w:r>
    </w:p>
    <w:p>
      <w:r>
        <w:t>Par décision du 15 août 2017, le PCTN a prononcé la fermeture de l'établissement pour une durée de vingt jours, en citant tous les rapports établis et toutes les décisions prises depuis 2013.![endif]&gt;![if&gt;</w:t>
      </w:r>
    </w:p>
    <w:p>
      <w:r>
        <w:rPr>
          <w:b/>
        </w:rPr>
        <w:t>E. 11</w:t>
      </w:r>
    </w:p>
    <w:p>
      <w:r>
        <w:t>Par acte posté le 15 septembre 2017, et complété le 18 septembre 2017, M. A______ a interjeté recours auprès de la chambre administrative de la Cour de justice (ci-après : la chambre administrative) contre la décision précitée, concluant principalement à ce que la décision soit réformée en ce sens qu'aucune fermeture n'était prononcée (recte : à l'annulation de la décision attaquée).![endif]&gt;![if&gt; Le principe de la proportionnalité était violé. On ne pouvait retenir à sa charge une violation répétée de la loi sur la vente à l'emporter des boissons alcooliques du 22 janvier 2004 (LVEBA - I 2 24), dès lors que les anciennes infractions avaient déjà été prises en compte pour ordonner la première fermeture, et qu'il s'agissait de la première violation depuis un peu plus de trois ans. L'égalité de traitement était également violée, dès lors que dans de nombreuses décisions, et notamment dans deux affaires ayant donné lieu à des arrêts de la chambre administrative, la première mesure de fermeture avait été prononcée pour une durée de sept jours, et la seconde pour une durée de quatorze jours.</w:t>
      </w:r>
    </w:p>
    <w:p>
      <w:r>
        <w:rPr>
          <w:b/>
        </w:rPr>
        <w:t>E. 12</w:t>
      </w:r>
    </w:p>
    <w:p>
      <w:r>
        <w:t>Le 5 octobre 2017, le PCTN a conclu au rejet du recours.![endif]&gt;![if&gt; M. A______ ne contestait pas les faits qui lui étaient reprochés. La jurisprudence en matière d'amendes administratives, qui prévoyait l'application de la partie générale du Code pénal suisse du 21 décembre 1937 (CP - RS 311.0) à titre de droit supplétif, valait également pour toute mesure administrative ayant valeur de sanction La prescription des infractions à la LVEBA était ainsi de trois ans, or M. A______ avait commis plusieurs infractions dans les trois ans qui avaient précédé la nouvelle infraction du 24 mars 2017. Malgré les avertissements et la précédente sanction, M. A______ n'avait pas modifié son comportement. De plus, il y avait lieu de souligner le caractère particulièrement astucieux de la commission des infractions reprochées, avec absence d'émission d'un ticket de caisse et remise de la marchandise dans un lieu différent et à l'abri des regards. S'agissant du grief de violation de l'égalité de traitement, il avait été tenu compte de la situation personnelle de M. A______ ainsi que de ses antécédents, et ce de manière conforme au droit.</w:t>
      </w:r>
    </w:p>
    <w:p>
      <w:r>
        <w:rPr>
          <w:b/>
        </w:rPr>
        <w:t>E. 13</w:t>
      </w:r>
    </w:p>
    <w:p>
      <w:r>
        <w:t>Le 17 octobre 2017, le juge délégué a fixé aux parties un délai au 24 novembre 2017, prolongé par la suite au 8 décembre 2017, pour formuler toutes requêtes ou observations complémentaires, après quoi la cause serait gardée à juger.![endif]&gt;![if&gt;</w:t>
      </w:r>
    </w:p>
    <w:p>
      <w:r>
        <w:rPr>
          <w:b/>
        </w:rPr>
        <w:t>E. 14</w:t>
      </w:r>
    </w:p>
    <w:p>
      <w:r>
        <w:t>Aucune des parties ne s'est manifestée depuis lors.![endif]&gt;![if&gt;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vente à l’emporter de boissons alcooliques est régie par la LVEBA.![endif]&gt;![if&gt; 3. a. La vente à l’emporter de boissons alcooliques dans des commerces est soumise à l’obtention préalable d’une autorisation délivrée par le département de la sécurité et de l’économie devenu depuis lors, le département de la sécurité (ci-après : le département ; art. 5 al. 1 LVEBA). ![endif]&gt;![if&gt; b.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Elle est délivrée pour un établissement et des locaux déterminés (art. 8 al.1 LVEBA). 4. a. La vente de boissons alcooliques à l’emporter est interdite de 21h00 à 7h00, indépendamment des dispositions de la loi sur les heures d'ouverture des magasins du 15 novembre 1968 (LHOM - I 1 05 ; art. 11 al. 1 LVEBA), sauf dans les établissements autorisés au sens de la loi sur la restauration, le débit de boissons, l’hébergement et le divertissement du 19 mars 2015 (LRDBHD - I 2 22). ![endif]&gt;![if&gt; b. Durant l'interdiction visée à l'art. 11 al. 1 LVEBA, les boissons alcooliques sont mises sous clef et soustraites à la vue du public, ces mesures ne s'appliquant pas aux entreprises autorisées au sens de la LRDBHD (art. 5 al. 2 LVEBA). 5. 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LVEBA.![endif]&gt;![if&gt; 6. Le recourant ne conteste pas dans la présente procédure les faits à l'origine de la sanction attaquée.![endif]&gt;![if&gt; Ceux-ci résultent d'un rapport de police établi par des agents assermentés, et aucun élément au dossier ne permet de s'en écarter, si bien que ces faits doivent être considérés comme avérés, selon la jurisprudence constante de la chambre de céans ( ATA/240/2017 du 28 février 2017 ; ATA/991/2016 du 22 novembre 2016 consid. 3c et les arrêts cités). Il en découle que le PCTN était en droit de sanctionner le recourant en application de l’art. 14 LVEBA. 7.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ATA/383/2017 du 4 avril 2017 consid. 7b et les références citées). ![endif]&gt;![if&gt;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Enfin, l’amende doit respecter le principe de la proportionnalité ( ATA/991/2016 précité consid. 6a). Ces principes ont déjà été appliqués par la chambre de céans à des sanctions administratives autres qu'à des amendes, notamment à une fermeture d'établissement ( ATA/1373/2017 du 10 octobre 2017 consid. 6), et ceux-ci doivent donc être considérés comme valant, mutatis mutandis, dans le cas d'espèce. b.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 8. Si la LVEBA ne contient aucune réglementation spécifique concernant la prise en compte des antécédents, on peut admettre une application par analogie de l'art. 49 CP, et à plus forte raison une utilisation d'antécédents remontant à trois ans.![endif]&gt;![if&gt; Or, force est de constater que le recourant a fait l'objet d'une décision de fermeture de son établissement pour dix jours en 2014, ceci pour violation répétée de la LVEBA en matière de vente d'alcool en dehors des heures autorisées. Contrairement à ce qu'allègue le recourant, cette sanction n'a pas « remis les compteurs à zéro » et n'empêche pas la prise en compte, dans une limite temporelle raisonnable, de cet antécédent. De plus, la sanction attaquée prend également en compte, à juste titre, le mode opératoire mis en place par le recourant pour violer la loi, qui dénote une volonté certaine de ne pas respecter une règle qui s'imposait à lui, et qu'il ne pouvait ignorer vu ses précédents démêlés avec le PCTN à ce sujet. L'ordre de fermeture pour une durée de vingt jours est dès lors conforme au principe de la proportionnalité, le grief du recourant à cet égard devant être écarté. 9. a. Une décision viole le principe de l’égalité de traitement garanti par l’art. 8 Cst. lorsqu’elle établit des distinctions juridiques qui ne se justifient par aucun motif raisonnable au regard de la situation de fait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ATA/610/2017 du 30 mai 2017 ; Vincent MARTENET, Géométrie de l'égalité, 2003, p. 260 ss).![endif]&gt;![if&gt;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AUER/Giorgio MALINVERNI/ Michel HOTTELIER, Droit constitutionnel suisse, 2013, vol. 2, 3 ème éd., p. 500/501 n. 1074-1076 ; Pierre MOOR/Alexandre FLÜCKIGER/ Vincent MARTENET, Droit administratif, 2012, vol. 1, 3 ème éd., p. 627 ss n. 4.1.1.4 ; Vincent MARTENET, op. cit.). c. En matière de quotité des sanctions – pénales comme administratives –, toute comparaison avec d'autres affaires est délicate vu les nombreux paramètres entrant en ligne de compte pour la fixation de la sanction ; il ne suffit d'ailleurs pas que le justiciable puisse citer un ou deux cas où une sanction particulièrement clémente a été fixée pour prétendre à un droit à l'égalité de traitement. Les disparités en cette matière s'expliquent normalement par le principe de l'individualisation des sanctions, voulu par le législateur, et elles ne suffisent pas en elles-mêmes pour conclure à un abus du pouvoir d'appréciation (ATF 141 IV 61 consid. 6.3.2). 10. En l'espèce, le recourant cite deux affaires traitées par la chambre de céans, dans lesquelles la durée du premier ordre de fermeture était de sept jours, et la durée du second de quatorze jours ( ATA/413/2017 du 11 avril 2017 ; ATA/1162/2015 du 27 octobre 2015). Mais dans la première affaire, un seul avertissement avait été adressé à l'administré avant de lui infliger la première mesure de fermeture ; et dans la seconde, la gravité de la faute des intéressés était moindre, dans la mesure où ils n'avaient pas, comme le recourant, mis en place un système élaboré de fraude.![endif]&gt;![if&gt; La sanction infligée résiste dès lors également au grief de violation de l'égalité de traitement, si bien que le recours doit être rejeté. 11. Vu l’issue de la procédure,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