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A/3825/2017 vom 9. Oktober 2017</w:t>
      </w:r>
    </w:p>
    <w:p>
      <w:r>
        <w:t>GE Cour de justice, 2017-10-09, FR</w:t>
      </w:r>
    </w:p>
    <w:p>
      <w:r>
        <w:rPr>
          <w:b/>
        </w:rPr>
        <w:t xml:space="preserve">Quelle: </w:t>
      </w:r>
      <w:r>
        <w:t>https://mcp.opencaselaw.ch/entscheid/ge_gerichte_A_3825_2017</w:t>
      </w:r>
    </w:p>
    <w:p>
      <w:r>
        <w:t>FR: GE_GERICHTE A/3825/2017 du 9 octobre 2017</w:t>
      </w:r>
    </w:p>
    <w:p>
      <w:r>
        <w:t>IT: GE_GERICHTE A/3825/2017 del 9 ottobre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09.10.2017 A/3825/2017</w:t>
      </w:r>
    </w:p>
    <w:p>
      <w:r>
        <w:t>A/3825/2017 ATAS/869/2017 du 09.10.2017 ( AI ) rÉpublique et canton de genÈve POUVOIR JUDICIAIRE A/3825/2017 ATAS/869/2017 COUR DE JUSTICE Chambre des assurances sociales Arrêt incident du 9 octobre 2017 5 ème Chambre En la cause Madame A______, domiciliée à BERNEX, comparant avec élection de domicile en l'étude de Maître Eric MAUGUE recourante contre OFFICE DE L'ASSURANCE-INVALIDITÉ DU CANTON DE GENÈVE, sis rue des Gares 12, GENÈVE intimé Attendu que, par décision incidente du 17 août 2017, l’office de l’assurance-invalidité du canton de Genève (OAI) a décidé de maintenir le mandat d’expertise conféré au docteur B______ ; Qu’il a retiré l’effet suspensif à un éventuel recours contre cette décision; Que, par acte du 18 septembre 2017, Madame A______ a recouru contre cette décision, par l’intermédiaire de son conseil, en concluant, préalablement, à la restitution de l’effet suspensif au recours ; Que, dans sa réponse du 2 octobre 2017 sur effet suspensif, l’intimé a fait savoir à la chambre de céans que la décision querellée ne sera pas exécutée avant que le jugement n’eût été rendu ; Qu’il convient de constater ainsi que l’intimé est d’accord de restituer l’effet suspensif au recours contre cette décision ; Qu’il sied donc de constater qu'un accord est intervenu entre les parties. *** PAR CES MOTIFS, LA CHAMBRE DES ASSURANCES SOCIALES : Statuant selon l’art. 21 al. 2 LPA-GE et d’accord entre les parties 1.        Prend acte de l’engagement de l’intimé de restituer l’effet suspensif au recours contre la décision incidente du 17 août 2017.![endif]&gt;![if&gt; 2.        L’y condamne en tant que de besoin.![endif]&gt;![if&gt; 3.        Réserve le fond.![endif]&gt;![if&gt; La greffière Diana ZIERI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