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A/3821/2023 vom 31. Oktober 2024</w:t>
      </w:r>
    </w:p>
    <w:p>
      <w:r>
        <w:t>GE Cour de justice, 2024-10-31, FR</w:t>
      </w:r>
    </w:p>
    <w:p>
      <w:r>
        <w:rPr>
          <w:b/>
        </w:rPr>
        <w:t xml:space="preserve">Quelle: </w:t>
      </w:r>
      <w:r>
        <w:t>https://mcp.opencaselaw.ch/entscheid/ge_gerichte_A_3821_2023</w:t>
      </w:r>
    </w:p>
    <w:p>
      <w:r>
        <w:t>FR: GE_GERICHTE A/3821/2023 du 31 octobre 2024</w:t>
      </w:r>
    </w:p>
    <w:p>
      <w:r>
        <w:t>IT: GE_GERICHTE A/3821/2023 del 31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Le litige porte sur le droit éventuel de la recourante aux prestations de l’assurance-invalidité, sous forme de rente et/ou de mesures de réadaptation.</w:t>
      </w:r>
    </w:p>
    <w:p>
      <w:r>
        <w:rPr>
          <w:b/>
        </w:rPr>
        <w:t>E. 3.1</w:t>
      </w:r>
    </w:p>
    <w:p>
      <w:r>
        <w:t>Le 1 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3.2</w:t>
      </w:r>
    </w:p>
    <w:p>
      <w:r>
        <w:t>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 cf . art. 28 al. 1 let. c LAI). Le droit à la rente naît au plus tôt à l’échéance d’une période de six mois à compter de la date à laquelle l’assuré à fait valoir son droit aux prestations conformément à l’art. 29 al. 1 LPGA (art. 29 al. 1 LAI).</w:t>
      </w:r>
    </w:p>
    <w:p>
      <w:r>
        <w:rPr>
          <w:b/>
        </w:rPr>
        <w:t>E. 4.3.1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4.3.2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Michel VALTERIO, Droit de l’assurance-vieillesse et survivants [AVS] et de l’assurance-invalidité [AI], Commentaire thématique, p. 563-564 n. 2112). La complémentarité entre l’AI et l’assurance-chômage ne signifie pas que l’assuré qui est écarté du marché du travail puisse dans tous les cas se prévaloir soit de son invalidité soit de son statut de chômeur. Ainsi l’assuré présentant une atteinte grave à la santé peut fort bien ne pas être suffisamment invalide pour pouvoir prétendre à une rente d’invalidité de l’AI tout en étant apte au placement (ATF 109 V 25 consid. 3d). Étant donné que ces deux assurances ne font pas dépendre le droit aux prestations des mêmes conditions – l’invalidité pour l’une, l’aptitude au placement pour l’autre –, il est possible qu’en présence d’une seule et même atteinte à la santé, l’AI admette une capacité de travail entière alors que l’assurance-chômage nie toute aptitude au placement. Il se peut également qu’il existe un droit aux prestations tant de la part de l’AI que de celle de l’assurance-chômage. Une absence de droit non seulement vis-à-vis de la première, mais aussi de la seconde assurance est également envisageable (arrêt du Tribunal fédéral des assurances C 282/05 du 3 mars 2006 du 3 mars 2006 consid. 2.3; Ulrich MEYER/ Marco REICHMUTH, Bundesgesetz über die Invalidenversicherung [IVG], in Hans-Ulrich STAUFFER/ Basile CARDINAUX [éditeurs], Rechtsprechung des Bundesgerichts zum Sozialversicherungsrecht, 4 ème éd., 2022, p. 346-347, n. 136 ad art. 28 a LAI).</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8</w:t>
      </w:r>
    </w:p>
    <w:p>
      <w:r>
        <w:t>En l’espèce, la recourante conteste en premier lieu la valeur probante de l’expertise du Dr D______, à laquelle elle reproche d’être incomplète, insuffisamment motivée et de ne pas tenir compte de ses limitations fonctionnelles. La recourante relève également que le Dr D______ n’est ni orthopédiste, ni spécialiste du pied et de la cheville, ni même chirurgien ou traumatologue. La Cour de céans a déjà eu l’occasion d’examiner la valeur probante de cette expertise dans le cadre du litige ayant opposé l’assurée à l’assureur perte de gain (cf. ATAS/119/2024 op. cit.). Dans cet arrêt, la Cour de céans s’est interrogée, à l’instar de la recourante, sur l’opportunité de la désignation d’un médecin du travail pour évaluer les répercussions sur la capacité de travail d’une fasciite plantaire – soit un trouble musculo-squelettique – qu’un rhumatologue, voire un chirurgien orthopédique, aurait vraisemblablement été mieux à même d’analyser. Cela étant, elle a rappelé que tout grief ayant trait au défaut de compétence d’un expert était d’ordre matériel et devait ainsi être examiné avec la décision sur le fond dans le cadre de l'appréciation des preuves (arrêt du Tribunal fédéral 8C_358/2022 du 12 avril 2023 consid. 4.2.4). La Cour de céans a ensuite constaté, s’agissant du contenu dudit rapport, que si, au plan formel, il contenait tous les éléments nécessaires selon la jurisprudence – soit, notamment, une anamnèse, un résumé du dossier et des diagnostics –, ses conclusions étaient insuffisamment motivées pour emporter la conviction. En particulier, on peine à comprendre sur quels éléments se fonde le Dr D______ pour qualifier la fasciite plantaire d’affection « au décours », faute d’explications sur ce point. Il n’indique pas non plus quelles observations concrètes lui permettent de retenir que les limitations fonctionnelles – dont il reconnaît implicitement la persistance à la date de son examen, puisqu’il confirme que l’incapacité de travail reste justifiée à ce moment-là – disparaitraient progressivement lors des mois suivants, ni les motifs qui le conduisent à qualifier l’évolution de favorable. L’absence de signes d’inconfort lors de l’entretien – durant lequel on peut raisonnablement supposer que la recourante était assise – n’est pas incompatible avec des douleurs et des difficultés à la mobilisation. S’agissant de l’évolution de la capacité de travail, les conclusions quant à une possible reprise deux mois après l’examen ne sont nullement motivées. Le Dr D______ se contente de souligner qu’une fasciite peut avoir une incidence durant plusieurs mois sur la capacité de travail dans le cas d’une activité exercée debout. Or, un pronostic fondé sur l’évolution usuellement observée d’une atteinte ne suffit pas à démontrer le rétablissement futur de la capacité de travail, à défaut d’éléments concrets dans ce sens. On peut ici se référer par analogie au principe prévalant en matière d’assurance-accidents,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En l’espèce, il n’existe aucun autre élément permettant d’accréditer la thèse d’une guérison de l’atteinte deux mois plus tard. Au contraire, la scintigraphie réalisée en mai 2022 a confirmé la persistance de la fasciite plantaire, l’aponévropathie plantaire décrite dans le rapport d’examen étant un terme synonyme (cf. Aponévropathie plantaire : mise au point 2021 in Revue médicale suisse 17 [2021] p. 1314). Le Dr G______ a également rapporté, en juin 2022, des signes cliniques d’une telle atteinte. Les médecins des HUG ont eux aussi relaté une fasciite plantaire dans leur rapport de consultation du 23 septembre 2022. La Cour de céans, à défaut de motivation suffisante quant à l’exigibilité de la reprise d’une activité professionnelle à partir du 1 er mai 2022 malgré la persistance de l’atteinte à l’origine de l’incapacité de travail, a donc nié au rapport du Dr  D______ toute valeur probante sur ce point. Il est vrai que le Dr F______, en mai 2022, a malgré tout également conclu à une capacité de travail de 100% dans une activité adaptée telle qu’un travail administratif. Il s’est cependant prononcé du seul point de vue de l’atteinte aux membres inférieurs. Or, la Dre C______, en septembre 2022, a fait état d’une péjoration au niveau lombaire et a conclu, de ce fait, à une capacité de travail limitée à 50% dans une activité adaptée. On rappellera que ce même médecin, en octobre 2021, indiquait que la scoliose et les crises cervico-dorsales et lombaires n’avaient jamais entraîné d’arrêts de travail prolongés. Tout indique donc que la situation s’était nettement péjorée une année plus tard. Le SMR a certes fait siennes les nouvelles limitations évoquées par la Dre C______, mais a conclu pour sa part à une pleine capacité de travail, sans argumenter aucunement les raisons pour lesquelles il s’écartait du taux retenu par ce médecin. La position de l’une comme de l’autre n’étant guère motivées, la Cour de céans ne dispose pas d’éléments suffisants pour se prononcer sur la capacité de l’assurée à exercer une activité adaptée compte tenu de l’ensemble des atteintes dont elle souffre. Lorsque le juge constate qu'une expertise est nécessaire, il doit en principe la mettre en œuvre lui-même. Un renvoi à l'administration reste cependant possible lorsqu'il est justifié par l'examen d'un point qui n'a pas du tout été investigué (ATF 137 V 210 consid. 4.4.1.3 et 4.4.1.4). En l’espèce, au vu des carences de l’expertise du Dr D______ et du fait que les éventuelles répercussions des atteintes lombaires n’ont pas du tout été analysées par l’intimé, un renvoi de la cause pour instruction complémentaire s’impose. A cet égard, l’intimé pourra s’enquérir auprès de l’assureur perte de gain du résultat des mesures d’instruction mises en œuvre par celui-ci suite à l’arrêt de la Cour l’opposant à l’assurée. Il appartiendra ensuite à l’intimé de rendre une nouvelle décision. Le recours est partiellement admis en ce sens. La recourante n’étant pas représentée, elle n’a pas droit à des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