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A/3820/2014 vom 27. Januar 2015</w:t>
      </w:r>
    </w:p>
    <w:p>
      <w:r>
        <w:t>GE Cour de justice, 2015-01-27, FR</w:t>
      </w:r>
    </w:p>
    <w:p>
      <w:r>
        <w:rPr>
          <w:b/>
        </w:rPr>
        <w:t xml:space="preserve">Quelle: </w:t>
      </w:r>
      <w:r>
        <w:t>https://mcp.opencaselaw.ch/entscheid/ge_gerichte_A_3820_2014</w:t>
      </w:r>
    </w:p>
    <w:p>
      <w:r>
        <w:t>FR: GE_GERICHTE A/3820/2014 du 27 janvier 2015</w:t>
      </w:r>
    </w:p>
    <w:p>
      <w:r>
        <w:t>IT: GE_GERICHTE A/3820/2014 del 27 gennaio 2015</w:t>
      </w:r>
    </w:p>
    <w:p>
      <w:pPr>
        <w:pStyle w:val="Heading2"/>
      </w:pPr>
      <w:r>
        <w:t>Erwägungen</w:t>
      </w:r>
    </w:p>
    <w:p>
      <w:r>
        <w:rPr>
          <w:b/>
        </w:rPr>
        <w:t>E. 2</w:t>
      </w:r>
    </w:p>
    <w:p>
      <w:r>
        <w:t>ème section dans la cause UNIVERSITÉ DE GENÈVE contre Madame A______ représentée par Me Romain Jordan, avocat et COUR DE JUSTICE - CHAMBRE ADMINISTRATIVE EN FAIT 1) Par arrêt du 28 octobre 2014 ( ATA/839/2014 ), la chambre administrative de la Cour de justice (ci-après : la chambre administrative) a partiellement admis le recours qu’avait interjeté Madame A______ contre la décision sur opposition du 25 juillet 2013 prononcée par le doyen de la faculté des sciences de l’Université de Genève.![endif]&gt;![if&gt; La chambre administrative a annulé la décision sur opposition précitée et la décision initiale du 20 novembre 2012, et renvoyé le dossier à l’Université de Genève (ci-après : l’université) pour nouvelle décision dans le sens des considérants. Cet arrêt a été expédié aux parties le 13 novembre 2014. 2) Par correspondance du 4 décembre 2014, l’université a interpellé la chambre administrative. ![endif]&gt;![if&gt; Il ressortait des considérants de cet arrêt que la faculté des sciences (ci-après : la faculté) devait faire repasser à Mme A______ un nouvel examen écrit d’une durée de quatre heures portant sur les cinq enseignements qu’elle avait effectivement suivis. Le cours considéré était normalement enseigné par onze professeurs intervenants, mais seuls neuf d’entre eux, dont l’identité n’était pas révélée à l’avance, posaient une question lors de l’examen. Cet examen écrit de quatre heures se composait ainsi de neuf questions. La faculté souhaitait que la chambre administrative précise la forme de ce nouvel examen, à savoir s’il devrait également se présenter sous la forme de neuf questions. 3) Invitée à se déterminer au sujet de cette requête, Mme A______ a répondu le 19 janvier 2015.![endif]&gt;![if&gt; La demande en interprétation était irrecevable. L’arrêt du 28 octobre 2014 était parfaitement clair et dépourvu de toute équivoque ou ambiguïté entre ses considérants et son dispositif. L’autorité intimée souhaitait une marche à suivre concernant les modalités de l’examen, domaine dans lequel elle disposait pourtant d’un large pouvoir d’appréciation. Il n’appartenait pas à la chambre administrative de donner une consultation à l’autorité intimée. La fin du considérant 16 de l’arrêt attaqué répondait aux interrogations de l’autorité intimée. 4) Sur quoi, la cause a été gardée à juger.![endif]&gt;![if&gt; EN DROIT 1) La chambre administrative examine d'office la recevabilité des recours qui sont portés devant elle ( ATA/297/2014 du 29 avril 2014 consid. 2a ; ATA/252/2013 du 23 avril 2013 ; ATA/343/2012 du 5 juin 2012 ; ATA/68/2012 du 31 janvier 2012). ![endif]&gt;![if&gt; 2) L’université sollicite par courrier du 4 décembre 2014 que « la chambre administrative précise la forme de ce nouvel examen, à savoir si ce nouvel examen écrit d’une durée de quatre heures devra également se présenter sous la forme de neuf questions ».![endif]&gt;![if&gt; Cette requête doit être considérée comme une demande en interprétation. 3)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LPA).![endif]&gt;![if&gt; Déposée dans le délai utile auprès de la juridiction compétente, la demande en interprétation est recevable de ces deux points de vue. 4)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ATA/856/2014 du 4 novembre 2014 ; ATA/432/2010 du 22 juin 2010 consid. 2 ; Blaise KNAPP, Précis de droit administratif, 4 ème édition, 1991, p. 253 n. 1146 ss et p. 428 n. 2069 ss).![endif]&gt;![if&gt;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110 V 222 consid. 1 et les références ; arrêt du Tribunal fédéral 4G.1/2007 précité consid. 2 ; ATA/391/2011 précité consid. 4). Il n'est pas davantage admissible de provoquer, par la voie de la demande d'interprétation, une discussion d'ensemble sur la décision entrée en force - relative, par exemple, à la conformité au droit ou à la pertinence de celle-ci - ayant pour objet tous les propos de la juridiction, en particulier les notions juridiques et les mots utilisés. Seul est accessible à l'interprétation ce qui, du contenu de l'arrêt, présente le caractère d'une prescription. Tel n'est pas le cas, notamment, des questions que la juridiction n'avait pas à examiner et qu'elle ne devait donc pas trancher (arrêts du Tribunal fédéral 4G.1/2007 précité consid. 2 et 2P.63/2001 du 10 juillet 2002 consid. 1.2). 5) En l’espèce, la faculté demande que l’arrêt de la chambre administrative du 28 octobre 2014 soit précisé sur les modalités de l’examen à refaire, singulièrement sur le point de savoir si l’examen doit comporter neuf questions.![endif]&gt;![if&gt; Dans son arrêt, la chambre administrative a fait mention des règlements pertinents, lesquels ne comprennent pas de dispositions relatives au nombre de questions mais font mention de la durée, de la forme et du champ de l’examen litigieux de biologie du développement I échoué, pour la dernière fois, lors de la session de mai-juin 2012. La question posée par la faculté fait précisément partie de celles pour lesquelles un pouvoir d’appréciation lui est conféré. En renvoyant le dossier à l’université afin de faire passer un nouvel examen écrit à l’étudiante, d’une durée de quatre heures, portant sur les cinq enseignements qu’elle a suivis,  le dispositif de l’ ATA/839/2014 ne présente ni obscurités ni contradictions dans le dispositif ou entre le dispositif et les considérants. La demande en interprétation sera déclarée irrecevable. 6) Compte tenu des circonstances, aucun émolument ne sera perçu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