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A/3818/2022 vom 12. Juni 2023</w:t>
      </w:r>
    </w:p>
    <w:p>
      <w:r>
        <w:t>GE Cour de justice, 2023-06-12, FR</w:t>
      </w:r>
    </w:p>
    <w:p>
      <w:r>
        <w:rPr>
          <w:b/>
        </w:rPr>
        <w:t xml:space="preserve">Quelle: </w:t>
      </w:r>
      <w:r>
        <w:t>https://mcp.opencaselaw.ch/entscheid/ge_gerichte_A_3818_2022</w:t>
      </w:r>
    </w:p>
    <w:p>
      <w:r>
        <w:t>FR: GE_GERICHTE A/3818/2022 du 12 juin 2023</w:t>
      </w:r>
    </w:p>
    <w:p>
      <w:r>
        <w:t>IT: GE_GERICHTE A/3818/2022 del 12 giugno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dans la forme et le délai prévus par la loi, le recours est recevable (art. 56ss LPGA, art. 62ss et 89B de la loi sur la procédure administrative du 12 septembre 1985 [LPA - E 5 10]).![endif]&gt;![if&gt;</w:t>
      </w:r>
    </w:p>
    <w:p>
      <w:r>
        <w:rPr>
          <w:b/>
        </w:rPr>
        <w:t>E. 3</w:t>
      </w:r>
    </w:p>
    <w:p>
      <w:r>
        <w:t>Le litige porte sur la question de savoir si la recourante peut bénéficier d’une remise de l’obligation de restituer la somme de CHF 121'523.75.![endif]&gt;![if&gt;</w:t>
      </w:r>
    </w:p>
    <w:p>
      <w:r>
        <w:rPr>
          <w:b/>
        </w:rPr>
        <w:t>E. 4</w:t>
      </w:r>
    </w:p>
    <w:p>
      <w:r>
        <w:t>![endif]&gt;![if&gt;</w:t>
      </w:r>
    </w:p>
    <w:p>
      <w:r>
        <w:rPr>
          <w:b/>
        </w:rPr>
        <w:t>E. 4.1</w:t>
      </w:r>
    </w:p>
    <w:p>
      <w:r>
        <w:t>Selon l'art. 25 al. 1 LPGA, les prestations indûment touchées doivent être restituées. La restitution ne peut être exigée lorsque l'intéressé était de bonne foi et qu'elle le mettrait dans une situation difficile.![endif]&gt;![if&gt;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4.2</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références).![endif]&gt;![if&gt;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où l'on ne peut occulter ce qui est possible et raisonnable dans la subjectivité de la personne concernée (faculté de jugement, état de santé, niveau de formation, etc. ; arrêt du Tribunal fédéral 9C_413/2016 du 26 septembre 2016 consid. 3.1 ; Sylvie PÉTREMAND, in Commentaire romand, LPGA, 2018, n. 69 ad art. 25 LPGA).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précité consid. 4 et 9C_14/2007 du 2 mai 2007 consid. 4 ; DTA 2003 n° 29 p. 260 consid. 1.2 et les références ; RSAS 1999 p. 384 ; Ueli KIESER, Kommentar zum Bundesgesetz über den Allgemeinen Teil des Sozialversicherungsrechts - ATSG, 2020, n. 65 ad art. 25 LPGA).</w:t>
      </w:r>
    </w:p>
    <w:p>
      <w:r>
        <w:rPr>
          <w:b/>
        </w:rPr>
        <w:t>E. 4.3</w:t>
      </w:r>
    </w:p>
    <w:p>
      <w:r>
        <w:t>Selon l’art. 95 al. 2 loi fédérale sur l'assurance-chômage obligatoire et l'indemnité en cas d'insolvabilité du 25 juin 1982 (loi sur l’assurance-chômage, LACI - RS 837.0), la caisse exige de l’employeur la restitution de l’indemnité allouée en cas de réduction de l’horaire de travail ou d’intempéries quand cette indemnité a été versée à tort. Lorsque l’employeur est responsable de l’erreur, il ne peut exiger de ses travailleurs le remboursement de l’indemnité.![endif]&gt;![if&gt;</w:t>
      </w:r>
    </w:p>
    <w:p>
      <w:r>
        <w:rPr>
          <w:b/>
        </w:rPr>
        <w:t>E. 4.4</w:t>
      </w:r>
    </w:p>
    <w:p>
      <w:r>
        <w:t>![endif]&gt;![if&gt;</w:t>
      </w:r>
    </w:p>
    <w:p>
      <w:r>
        <w:rPr>
          <w:b/>
        </w:rPr>
        <w:t>E. 4.4.1</w:t>
      </w:r>
    </w:p>
    <w:p>
      <w:r>
        <w:t>Selon le bulletin LACI RCRE / C2, il y a lieu de différencier l'ignorance, par le bénéficiaire, du fait qu'il n'avait pas droit aux prestations (ignorance de l’illicéité), du fait que l’assuré, en faisant preuve de l’attention que l’on pouvait exiger de lui, compte tenu des circonstances, aurait pu et dû reconnaître le vice juridique existant. En fait, l’assuré ne doit s’être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En revanche, l'intéressé peut invoquer sa bonne foi lorsque l'acte ou l'omission fautifs ne constituent qu'une violation légère de l'obligation d'annoncer ou de renseigner (ATF 112 V 97 consid. 2c et références ; DTA 1992 no 7 p. 103 consid. 2b). Un comportement fautif a trait le plus souvent à la violation de l'obligation d'annoncer ou d'informer, mais aussi au fait de ne pas se renseigner auprès de l'administration (DTA 1998 no 41 p. 234 consid. 4b et références). La bonne foi doit exister au moment de la perception des indemnités. Néanmoins, un assuré ne peut se prévaloir de la bonne foi au moment de la perception de l’indemnité, lorsqu’il devait s’attendre à une suspension de son droit aux indemnités de chômage en raison d’un comportement qu’il savait fautif. Cela est particulièrement le cas lorsqu’une sanction, pour des raisons inhérentes à l’instruction, ne peut intervenir que dans une période de contrôle ultérieure (p. ex. recherches de travail insuffisantes ou absence à un entretien de conseil). Enfin, en ce qui concerne la notion de bonne foi, la jurisprudence développée à propos de l'art. 47, al. 1, LAVS (valable jusqu’à l’entrée en vigueur de la LPGA) vaut par analogie en matière d'assurance-chômage. L’introduction de la LPGA n’a en rien modifié les notions relatives à l'appréciation de la bonne foi.![endif]&gt;![if&gt;</w:t>
      </w:r>
    </w:p>
    <w:p>
      <w:r>
        <w:rPr>
          <w:b/>
        </w:rPr>
        <w:t>E. 4.4.2</w:t>
      </w:r>
    </w:p>
    <w:p>
      <w:r>
        <w:t>La bonne foi n'a pas été reconnue notamment lorsque les documents nécessaires au contrôle du temps de travail ont été jetés trop tôt (ATFA C 223/00 du 5.2.2001 consid. 3a ; ATFA C 162/03 du 24.3.2004) et s’agissant d’une entreprise requérant des indemnités de RHT ou INTEMP ne disposant d'aucun contrôle systématique du temps de travail (ATF 8C_120/2012 du 11.6.2012 ; ATF 8C_312/2012 du 19.6.2012).![endif]&gt;![if&gt;</w:t>
      </w:r>
    </w:p>
    <w:p>
      <w:r>
        <w:rPr>
          <w:b/>
        </w:rPr>
        <w:t>E. 4.5</w:t>
      </w:r>
    </w:p>
    <w:p>
      <w:r>
        <w:t>![endif]&gt;![if&gt;</w:t>
      </w:r>
    </w:p>
    <w:p>
      <w:r>
        <w:rPr>
          <w:b/>
        </w:rPr>
        <w:t>E. 4.5.1</w:t>
      </w:r>
    </w:p>
    <w:p>
      <w:r>
        <w:t>L’art. 5 OPGA définit comme suit les conditions relatives à la reconnaissance de la situation difficile : « Il y a situation difficile, au sens de l’art. 25, al. 1, LPGA, lorsque les dépenses reconnues par la loi fédérale du 6.10.2006 sur les prestations complémentaires à l’assurance-vieillesse, survivants et invalidité (LPC) et les dépenses supplémentaires au sens de l’al. 4 sont supérieures aux revenus déterminants selon la LPC. »![endif]&gt;![if&gt;</w:t>
      </w:r>
    </w:p>
    <w:p>
      <w:r>
        <w:rPr>
          <w:b/>
        </w:rPr>
        <w:t>E. 4.5.2</w:t>
      </w:r>
    </w:p>
    <w:p>
      <w:r>
        <w:t>Est déterminant, pour apprécier s’il y a une situation difficile, le moment où la décision de restitution est exécutoire (ATF 105 V 74 consid. 4, art. 4, al. 2, OPGA).![endif]&gt;![if&gt;</w:t>
      </w:r>
    </w:p>
    <w:p>
      <w:r>
        <w:rPr>
          <w:b/>
        </w:rPr>
        <w:t>E. 4.5.3</w:t>
      </w:r>
    </w:p>
    <w:p>
      <w:r>
        <w:t>Pour les employeurs, on admet l’existence d’une situation difficile lorsque la somme à rembourser est supérieure à 20 % du bénéfice net moyen (solde positif du compte des pertes et profits / compte d’exploitation) des trois derniers exercices. Par exemple, si le bénéfice net annuel moyen des trois derniers exercices s’élève à CHF 100'000.- et que le montant à restituer s’élève à CHF 26'000.-, la remise accordée à l’employeur est de CHF 6'000.- (6 % du bénéfice annuel moyen).![endif]&gt;![if&gt;</w:t>
      </w:r>
    </w:p>
    <w:p>
      <w:r>
        <w:rPr>
          <w:b/>
        </w:rPr>
        <w:t>E. 4.6</w:t>
      </w:r>
    </w:p>
    <w:p>
      <w:r>
        <w:t>Selon le bulletin LACI RHT / B34, pour que l’horaire de travail et, par conséquent, les heures effectivement accomplies soient suffisamment contrôlables, il faut que l’entreprise dispose d’un système d’enregistrement du temps de travail de tous les travailleurs pour lesquels elle demande la RHT. Ce dernier (p. ex. cartes de timbrage, rapports sur les heures) doit pouvoir rendre compte quotidiennement des heures de travail fournies, y compris des éventuelles heures supplémentaires, de la perte de travail due aux conditions économiques, ainsi que de tout autre type d’absences telles que les vacances, les absences en cas de maladie, d’accident ou de service militaire. L’info-Service « L’indemnité en cas de RHT », la plateforme d’accès aux services en ligne (eServices ; art. 83, al. 1bis, let. d, LACI), le formulaire 716.300 « Préavis de RHT », de même que les décisions des autorités cantonales rendent clairement les employeurs attentifs à l’obligation pour les entreprises de procéder à un contrôle du temps de travail.![endif]&gt;![if&gt; A son chiffre B36, le bulletin précise que s’il s’avère ultérieurement, lors d’un contrôle chez l’employeur, que la perte de travail n’aurait pas dû être prise en considération parce qu’incontrôlable, faute de système de contrôle approprié, le SECO/TCRD exigera le remboursement de l’indemnité versée à tort. L'employeur ne pourra pas se prévaloir de sa bonne foi du fait que l'indemnité lui a été versée sans réserve à plusieurs reprises sur une longue période et ne pourra se soustraire à la décision de restitution (ATF 8C_469/2011 du 29.12.2011). L’employeur ne pourra pas non plus invoquer sa bonne foi pour demander une remise de l’obligation de restituer les prestations.</w:t>
      </w:r>
    </w:p>
    <w:p>
      <w:r>
        <w:rPr>
          <w:b/>
        </w:rPr>
        <w:t>E. 5</w:t>
      </w:r>
    </w:p>
    <w:p>
      <w:r>
        <w:t>![endif]&gt;![if&gt;</w:t>
      </w:r>
    </w:p>
    <w:p>
      <w:r>
        <w:rPr>
          <w:b/>
        </w:rPr>
        <w:t>E. 5.1</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w:t>
      </w:r>
    </w:p>
    <w:p>
      <w:r>
        <w:rPr>
          <w:b/>
        </w:rPr>
        <w:t>E. 5.2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6</w:t>
      </w:r>
    </w:p>
    <w:p>
      <w:r>
        <w:t>En l’espèce, la recourante considère que l’intimé aurait dû retenir sa bonne foi, aux motifs qu’elle était en pleine mutation après le départ de deux de ses administrateurs et qu’elle avait cherché en vain à implanter durant la pandémie un logiciel de contrôle du temps de travail. Un tel logiciel aurait en tout état été inutile, s’agissant d’employés en télétravail, pour lequel le principe de la confiance suffisait, ce d’autant qu’elle était une petite entreprise, pour laquelle le SECO admettait de se fonder sur les relevés manuscrits des collaborateurs, voire sur un horaire fixe prédéfini. Enfin, son obligation n’était pas claire à teneur des formulaires qu’elle a signés.![endif]&gt;![if&gt; La recourante ne conteste pas que l’obligation de disposer d’un système d’enregistrement du temps de travail ressortait des formulaires qu’elle a signés et renvoyés à l’intimé en vue d’obtenir des indemnités RHT. Si elle devait ne pas avoir compris son obligation, ce qui est douteux au vu du texte reporté sur lesdits formulaires, il lui appartenait de prendre contact avec l’intimé ou une autre autorité qui aurait été à même de répondre à ses questions. A tout le moins, aurait-elle dû s’assurer auprès de l’intimé que le système « fondé sur la confiance », qu’elle appliquait et qu’elle estimait suffisant, était admis pour retenir les heures à indemniser. Le fait qu’elle indique avoir voulu installer un système informatique de contrôle du temps de travail durant le confinement, mais en vain, démontre au demeurant qu’elle était pleinement consciente de son obligation et de son manquement, sans pour autant renoncer à demander des prestations auxquelles elle n’avait dès lors pas droit. A cela s’ajoute qu’elle ne saurait se prévaloir du départ de deux de ses administrateurs pour justifier la méconnaissance de ses obligations, ce départ étant intervenu en 2017, soit près de trois ans auparavant, ce qui laissait à l’administrateur actuel – qui était au demeurant auparavant titulaire de la signature collective à deux, et qui avait connaissance du fonctionnement de la société – le temps de mettre le système de contrôle du temps de travail en conformité. Les manquements de la recourante ne relèvent donc pas d’une omission légère et, dans ces circonstances et au regard des critères rappelés plus haut, c’est avec raison que l’intimé a estimé que la condition de la bonne foi n’était pas réalisée, ce qui s’oppose à la remise que la recourante requiert. Les conditions de la remise étant cumulatives, il n’est pas nécessaire d’examiner le critère de la situation économique – critère que l’intimé avait au demeurant réfuté, contrairement à ce que la recourante soutient. En tout état, la recourante ne démontre pas qu’elle se retrouverait dans une situation économique difficile en cas de refus de remise, étant rappelé que le critère doit être réalisé au moment où la décision de restitution est exécutoire.</w:t>
      </w:r>
    </w:p>
    <w:p>
      <w:r>
        <w:rPr>
          <w:b/>
        </w:rPr>
        <w:t>E. 7</w:t>
      </w:r>
    </w:p>
    <w:p>
      <w:r>
        <w:t>Eu égard à ce qui précède, la décision de l'intimée s'avère conforme au droit. Le recours sera donc rejeté.![endif]&gt;![if&gt;</w:t>
      </w:r>
    </w:p>
    <w:p>
      <w:r>
        <w:rPr>
          <w:b/>
        </w:rPr>
        <w:t>E. 8</w:t>
      </w:r>
    </w:p>
    <w:p>
      <w:r>
        <w:t>Pour le surplus, la procédure est gratuite (art. 61 let. fbis LPGA en lien avec l'art. 1 al. 1 LACI).![endif]&gt;![if&gt;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