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A/3818/2005 vom 22. Dezember 2005</w:t>
      </w:r>
    </w:p>
    <w:p>
      <w:r>
        <w:t>GE Cour de justice, 2005-12-22, FR</w:t>
      </w:r>
    </w:p>
    <w:p>
      <w:r>
        <w:rPr>
          <w:b/>
        </w:rPr>
        <w:t xml:space="preserve">Quelle: </w:t>
      </w:r>
      <w:r>
        <w:t>https://mcp.opencaselaw.ch/entscheid/ge_gerichte_A_3818_2005</w:t>
      </w:r>
    </w:p>
    <w:p>
      <w:r>
        <w:t>FR: GE_GERICHTE A/3818/2005 du 22 décembre 2005</w:t>
      </w:r>
    </w:p>
    <w:p>
      <w:r>
        <w:t>IT: GE_GERICHTE A/3818/2005 del 22 dicembre 2005</w:t>
      </w:r>
    </w:p>
    <w:p>
      <w:pPr>
        <w:pStyle w:val="Heading2"/>
      </w:pPr>
      <w:r>
        <w:t>Regeste</w:t>
      </w:r>
    </w:p>
    <w:p>
      <w:r>
        <w:t>LP.8, LP.34, LP.56, LP.22, LP.32.2, LP.72.2, LP.78.1, LPA.69.1</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Il lui faut par ailleurs constater spontanément, indépendamment de toute plainte, la nullité de mesures contraires à des dispositions édictées dans l’intérêt public ou dans l’intérêt de personnes qui ne sont pas parties à la procédure (art. 22 al. 1 LP). Le rejet de prendre en compte une opposition à un commandement de payer constitue une mesure sujette à plainte (art. 17 al. 1 LP), que le poursuivi a qualité pour attaquer par cette voie. La plainte a été formée dans les dix jours à compter du rejet de son opposition au commandement de payer n° 04 xxxx50 S, soit en temps utile (art. 17 al. 2 LP), et elle a été complétée dans le délai imparti à cette fin (art. 13 al. 2 LaLP). La plainte, dans sa version complétée, satisfait aux exigences de forme et de contenu prescrites par la loi (art. 13 al. 1 et 2 LaLP). La présente plainte sera donc déclarée recevable.</w:t>
      </w:r>
    </w:p>
    <w:p>
      <w:r>
        <w:rPr>
          <w:b/>
        </w:rPr>
        <w:t>E. 2</w:t>
      </w:r>
    </w:p>
    <w:p>
      <w:r>
        <w:t>L’Office a considéré que la plaignante avait formé opposition le 17 octobre 2005 seulement au commandement de payer considéré lui ayant été notifié le 6 septembre 2004. Aussi a-t-il écarté cette opposition pour cause de tardiveté, le délai pour former opposition à un commandement de payer étant de dix jours (art. 74 al. 1 LP). Or, la plaignante faisait valoir qu’elle avait formé opposition le jour même de la notification du commandement de payer, le 6 septembre 2005, et que, comme elle ne l’avait appris que lors du contact téléphonique qu’elle avait pris le 6 janvier 2005 avec l’huissier lui ayant envoyé un avis de saisie à fin décembre 2004, son opposition n’avait, par erreur, pas été consignée sur l’exemplaire créancier du commandement de payer, si bien que la poursuite était allée son cours à son insu. Les deux questions que l’Office avait à trancher étaient donc de savoir si la plaignante avait effectivement formé opposition lors de la notification du commandement de payer en question et si elle était forclose pour invoquer la non-prise en compte de son opposition, étant précisé que la première de ces deux questions pouvait être laissée ouverte s’il fallait admettre que la plaignante aurait agi tardivement pour faire valoir qu’elle avait formé opposition en temps utile. L’information n’a pas bien circulé entre les services concernés de l’Office. La cause ayant été instruite devant la Commission de céans, l’économie de procédure justifie que cette dernière, qui n’est d’ailleurs pas liée par les motifs invoqués ou non par les parties (art. 69 al. 1 phr. 2 LPA et art. 13 al. 5 LaLP), statue sur ces questions. 3.a. La date exacte à laquelle la plaignante a reçu l’avis de saisie que l’Office lui a adressé n’est certes pas connue. Cet avis est daté du 20 décembre 2004 et l’édition de poursuite indique aussi cette date comme date d’envoi de l’avis de saisie. Comme l’expérience l’enseigne, d’une façon déjà signalée qui pose problème sous l’angle de la foi susceptible d’être attachée aux éditions de poursuite ( DCSO/686/05 consid. 2.b du 10 novembre 2005), cela ne signifie pas que l’expédition soit intervenue effectivement le 20 décembre 2005. Il n’y a cependant pas lieu d’investiguer pour connaître la date exacte de réception de l’avis de saisie par la plaignante, qui doit lui avoir été envoyé par lettre signature (art. 34 LP). En effet, il appert que l’avis de saisie lui a été adressé pendant les féries de Noël (qui vont du 18 décembre au 1 er janvier inclusivement) ; or, l’avis de saisie, qui fait avancer la poursuite en cours en déployant des effets externes aux organes de l’exécution forcée agissant dans l’exercice de la puissance publique ( DCSO/456/03 consid. 5.b du 20 octobre 2003), représente un acte de poursuite ne pouvant en principe pas être accompli pendant les féries (Thomas Bauer , in SchKG I, ad art. 56 n° 33 in initio ). Aussi est-il indéniable que la plaignante a agi en temps utile en contestant l’absence d’opposition de sa part au commandement de payer considéré tant le 6 janvier 2005 lorsqu’elle a téléphoné à l’huissier de l’Office que le 11 janvier 2005 lorsqu’elle l’a rencontré et lui a montré une copie de l’exemplaire débiteur dudit commandement de payer comportant la mention d’une opposition. 3.b. S’il doit être admis que la plaignante a agi en temps utile, soit dans les dix jours à compter du jour où elle a eu connaissance de la mesure contestée, reporté en l’occurrence au début du mois de janvier 2005 (Thomas Bauer , in SchKG I, ad art. 56 n° 54 ; Sylvain Marchand , in CR-LP, ad art. 56 n° 35), se pose encore la question de savoir si elle doit être considérée comme ayant alors formé plainte. Sans doute n’a-t-elle alors pas saisi la Commission de céans d’une plainte écrite, ni même d’ailleurs l’Office lui-même. Il n’empêche que les 6 et 11 janvier 2005, en faisant savoir clairement à l’huissier de l’Office qu’elle avait fait opposition au commandement de payer, elle a manifestement contesté le fait qu’aucune opposition n’ait été enregistrée par l’Office dans la poursuite en question, et qu’en étant alors simplement invitée par l’huissier à se procurer l’original de l’exemplaire débiteur du commandement de payer auprès de la juge en mains de laquelle il se trouvait, la plaignante pouvait considérer que sa contestation était enregistrée par l’Office, qui est tenu de dresser un procès-verbal des réquisitions et déclarations qu’ils reçoivent (art. 8 al. 1 LP) et qui, s’il s’agit en réalité d’une plainte, doit la transmettre spontanément à la Commission de céans (art. 32 al. 2 LP). 3.c. La Commission de céans retiendra donc que la plaignante s’est plainte en temps utile d’un défaut d’enregistrement de l’opposition qu’elle affirme avoir formulée lors de la notification du commandement de payer, le 6 septembre 2004. Aussi faut-il examiner s’il doit être admis qu’elle a effectivement fait opposition à ce moment-là. 4.a. Selon l’art. 74 al. 1 LP, l’opposition peut être faite tant par écrit qu’oralement, soit immédiatement lors de la notification du commandement de payer, soit à l’Office dans les dix jours à compter de la notification. En cas d’opposition formée immédiatement lors de la notification, l’agent notificateur doit attester sur chaque exemplaire du commandement de payer non seulement le jour où la notification a eu lieu et la personne à laquelle l’acte a été remis (art. 72 al. 2 LP), mais aussi la déclaration d’opposition, comme cela résulte de la formule officielle du commandement de payer (Form. 3), qui précise, sous la rubrique « Opposition », que si le débiteur déclare son opposition au moment de la notification, « l’opposition est consignée sur chaque exemplaire et le fonctionnaire qui procède à la notification en donne acte en apposant sa signature » (Balthassar Bessenich , in SchKG I, ad art. 74 n° 13). 4.b. La consignation écrite de l’opposition n’est toutefois pas une condition de validité de l’opposition. Elle sert simplement de moyen de preuve ; et si elle fait foi jusqu’à preuve contraire, une indication inexacte consignée le cas échéant sur le commandement de payer peut être contredite par tout moyen probant contraire (art. 8 al. 2 LP ; Pierre-Robert Gilliéron , Commentaire, ad art. 72 n° 18 et ad art. 74 n° 45 ; Karl Wüthrich / Peter Schoch , in SchKG I, ad art. 72 n° 14). Le défaut de signature de l’agent notificateur n’est pas un obstacle à l’admission d’une opposition (cf. Roland Ruedin , in CR-LP, ad art. 74 n° 10, qui, à propos d’une opposition écrite faite par le débiteur au moment de la notification, indique qu’elle est valable même si elle est faite sur un seul des deux exemplaires du commandement de payer et se compose uniquement d’une déclaration d’opposition non signée, s’il est établi qu’elle émane du poursuivi). 4.c. En l’espèce, il faut tenir pour acquis que la plaignante a déclaré à la factrice son opposition au commandement de payer au moment même de la notification. Cela résulte déjà du fait que l’exemplaire débiteur du commandement de payer comporte, de la main même de la factrice, la mention que « La débitrice fait opposition », mention qui a été écrite sur cet exemplaire au moment de la notification. Au surplus, la factrice a affirmé que cette mention était bien de sa main, ce qui résulte d’ailleurs aussi de la comparaison des écritures figurant sur le commandement de payer et sur la feuille sur laquelle la factrice, en audience, a écrit les mentions qu’elle fait figurer d’habitude sur les commandements de payer. Comme ladite factrice l’a déclaré catégoriquement en audience, elle ne pouvait avoir apposée cette mention à un autre moment qu’à celui de la notification. Si elle a signé l’original de cet exemplaire débiteur du commandement de payer en octobre 2005, elle a pris soin de le faire en vert, soit dans une autre couleur que les autres mentions qu’elle y avait fait figurer lors de la notification. Ni la factrice, ni la plaignante n’ont cherché par là à tromper qui que ce soit sur le moment auquel cette signature a été apposée, donc sur la portée qu’il y a lieu de lui attribuer, à savoir celle d’attester que c’est bien la factrice qui avait pris note d’une opposition lors de la notification du commandement de payer. L’huissier de l’Office a confirmé de son côté que la plaignante lui a d’emblée affirmé avoir fait opposition lors de la notification, lorsqu’elle l’a constaté sitôt après avoir reçu un avis de saisie dans cette poursuite qu’elle imaginait stoppée par son opposition.</w:t>
      </w:r>
    </w:p>
    <w:p>
      <w:r>
        <w:rPr>
          <w:b/>
        </w:rPr>
        <w:t>E. 5</w:t>
      </w:r>
    </w:p>
    <w:p>
      <w:r>
        <w:t>L’opposition suspend la poursuite (art. 78 al. 1 LP). Les actes de poursuite postérieurs à l’opposition sont nuls et leur nullité doit être constatée d’office et en tout temps (art. 22 LP ; Roland Ruedin, in CR-LP, ad art. 78 n° 2 ; Pierre-Robert Gilliéron , Commentaire, ad art. 78 n° 11 ; Balthasar Bessenich , in SchKG I, ad art. 78 n° 1).</w:t>
      </w:r>
    </w:p>
    <w:p>
      <w:r>
        <w:rPr>
          <w:b/>
        </w:rPr>
        <w:t>E. 6</w:t>
      </w:r>
    </w:p>
    <w:p>
      <w:r>
        <w:t>Déboute les parties de toute autre conclusion. Siégeant : M. Raphaël MARTIN, président ; MM. Denis MATHEY et Philipp GANZONI, juges assesseurs. Au nom de la Commission de surveillance : Cendy RENAUD Raphaël MARTIN Commise-greffière : Le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