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A/3801/2007 vom 25. März 2008</w:t>
      </w:r>
    </w:p>
    <w:p>
      <w:r>
        <w:t>GE Cour de justice, 2008-03-25, FR</w:t>
      </w:r>
    </w:p>
    <w:p>
      <w:r>
        <w:rPr>
          <w:b/>
        </w:rPr>
        <w:t xml:space="preserve">Quelle: </w:t>
      </w:r>
      <w:r>
        <w:t>https://mcp.opencaselaw.ch/entscheid/ge_gerichte_A_3801_2007</w:t>
      </w:r>
    </w:p>
    <w:p>
      <w:r>
        <w:t>FR: GE_GERICHTE A/3801/2007 du 25 mars 2008</w:t>
      </w:r>
    </w:p>
    <w:p>
      <w:r>
        <w:t>IT: GE_GERICHTE A/3801/2007 del 25 marzo 2008</w:t>
      </w:r>
    </w:p>
    <w:p>
      <w:pPr>
        <w:pStyle w:val="Heading2"/>
      </w:pPr>
      <w:r>
        <w:t>Erwägungen</w:t>
      </w:r>
    </w:p>
    <w:p>
      <w:r>
        <w:rPr>
          <w:b/>
        </w:rPr>
        <w:t>E. 8</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La question litigieuse que le Tribunal de céans doit trancher consiste à savoir si c'est à juste titre que l'OCAI a refusé toute prestation au recourant, c'est-à-dire de déterminer si les atteintes subies par le recourant à sa santé physique et mentale doivent ou non être considérées comme invalidantes au sens de la LAI et donc ouvrir le droit aux prestations prévues par cette loi, notamment les mesures d'ordre professionnel (conclusion principale du recourant) ou la rente (conclusion subsidiaire du recourant).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Une maladie, un accident ou une infirmité congénitale peuvent provoquer une atteinte à la santé à l'origine de l'invalidité (art. 4 al. 1 LAI).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En l'espèce, le Dr D_________ considère que son patient est totalement incapable de travailler, quelle que soit l'activité envisagée, ce depuis le 1 er mars 1995. Il y a à cet égard lieu de relever que le 20 septembre 2000, la commission cantonale de recours AVS-AI a rendu un jugement, entré en force, selon lequel l'assuré présentait une capacité de travail de 100% dans une activité adaptée à ses limitations, et un degré d'invalidité de 31%, soit un degré insuffisant pour justifier l'octroi d'une rente. Il s'agit dès lors d'examiner les faits tels qu'ils se présentent depuis la décision de refus de prestations, confirmée par le jugement de la commission cantonale de recours AVS-AI L'OCAI s'est fondé sur le rapport des Drs F_________ et G_________ du 16 août 2006 pour conclure à une capacité de travail exigible dans l'activité habituelle d'employé d'entretien de 50% et dans une activité adaptée de 70% depuis mars 2003. L'état de santé de l'assuré s'est ainsi indéniablement aggravé, et sa capacité de travail s'en trouve diminuée. Il convient à cet égard de relever que le rapport du 16 août 2006 remplit tous les réquisits de la jurisprudence permettant de lui attribuer pleine valeur probante. Les médecins ont précisément décrit les atteintes à la santé dont souffrait l'assuré, quelles limitations elles entrainaient et ont expliqué en quoi il y avait eu aggravation. Leurs conclusions sont claires et bien motivées, de sorte que le Tribunal de céans n'a aucun motif de s'en écarter. L'assuré conteste les taux retenus par les médecins du SMR, lesquels sont, selon lui, sous-estimés. Il y a dès lors lieu d'examiner si le dossier contient des indices concrets permettant de remettre en question les conclusions de ce rapport. Force est de constater que tel n'est pas le cas. En effet le Dr D_________ se borne à dire que son patient est incapable de travailler à 100% depuis mars 1995. Le Dr E_________ indique, tout comme les médecins du SMR du reste, que l'assuré peut travailler comme concierge à mi-temps, mais ne se détermine pas sur la capacité exigible dans une activité adaptée. Les taux retenus par les Drs F_________ et G_________ doivent en conséquence être confirmés.</w:t>
      </w:r>
    </w:p>
    <w:p>
      <w:r>
        <w:rPr>
          <w:b/>
        </w:rPr>
        <w:t>E. 13</w:t>
      </w:r>
    </w:p>
    <w:p>
      <w:r>
        <w:t>Reste à déterminer le degré d'invalidité. Selon l'art. 28 al. 1 LAI dans sa teneur en vigueur jusqu'au 31 décembre 2003, l'assuré a droit à une rente entière s'il est invalide à 66 2/3% au moins, à une demi-rente s'il est invalide à 50% au moins, ou à un quart de rente s'il est invalide à 40% au moins. L'entrée en vigueur de la 4ème révision de la LAI a modifié la teneur de l'art. 28 al. 1 LAI relatif à l'échelonnement des rentes selon le taux d'invalidité.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(ci-après ESS;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 il doit s'appuyer sur des circonstances de nature à faire apparaître sa propre appréciation comme la mieux appropriée (ATF 126 V 75 consid. 6 p. 81, 123 V 150 consid. 2 et les références p. 152).</w:t>
      </w:r>
    </w:p>
    <w:p>
      <w:r>
        <w:rPr>
          <w:b/>
        </w:rPr>
        <w:t>E. 16</w:t>
      </w:r>
    </w:p>
    <w:p>
      <w:r>
        <w:t>En l'espèce, le calcul auquel a procédé l'OCAI pour calculer le degré d'invalidité est conforme aux dispositions légales et réglementaires applicables, ainsi qu'à la jurisprudence du TFA. Il n'a cependant tenu compte d'aucun abattement supplémentaire, considérant qu'une déduction spécifique pour tenir compte des limitations fonctionnelles de l'assuré avait déjà été opérée dans le cadre de l'estimation de sa capacité résiduelle de travail, et que ce facteur n'avait pas à être retenu une seconde fois pour procéder à la déduction du salaire statistique. Ce faisant toutefois, il a ignoré l'âge de l'assuré, ainsi que le fait que seul l'exercice d'une activité partielle lui est possible, tous éléments qu'il convient précisément de prendre en considération dans le cadre d'une réduction supplémentaire. Le Tribunal de céans considère dès lors qu'il se justifierait, au vu de la jurisprudence susmentionnée, de tenir compte d'un taux de 10%. Le degré d'invalidité obtenu ne dépasserait cependant pas 38%, degré restant insuffisant pour ouvrir droit à une rente d'invalidité. Ce degré de 38% permet en revanche la prise en charge éventuelle de mesures de réadaptation professionnelles (VSI 2000 p. 63). Selon l'art. 8 al. 1 LAI, en sa nouvelle teneur en vigueur depuis le 1 er janvier 2004 (4 ème révision AI), les assurée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LAI; cf. également art. 15 à 18 LAI). Il faut entendre par reclassement au sens de l'art. 17 LAI l'ensemble des mesures de réadaptation d'ordre professionnel, nécessaire et adéquate destiné à procurer de manière approprié une nouvelle capacité de gain, à peu près équivalente à celle de l'activité antérieure, aux assurés qui ne peuvent plus en raison d'une invalidité survenue ou imminente exercer leur métier ou leur activité lucrative antérieure ou accomplir leurs travaux habituels. L'exigence d'une équivalence approximative entre l'activité exercée avant la survenance de l'invalidité et celle accomplie après une mesure de reclassement porte avant tout sur les perspectives de gain. Mais pour être certain que le revenu réalisé dans la nouvelle profession soit environ du même ordre à terme (carrière) que celui que procurerait l'activité initiale, il faut que les deux formations considérées présentent une valeur intrinsèque qui puisse soutenir la comparaison (RCC 1988 p. 494; VSI 1997 p. 84). L'exigence d'équivalence limite le droit au reclassement "vers le haut". Il n'appartient pas à l'AI de placer un assuré dans une position économique et professionnelle meilleure que celle qu'elle occupait auparavant (Circulaire concernant les mesures de réadaptation d'ordre professionnel N° 4001 et ss.).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w:t>
      </w:r>
    </w:p>
    <w:p>
      <w:r>
        <w:rPr>
          <w:b/>
        </w:rPr>
        <w:t>E. 18</w:t>
      </w:r>
    </w:p>
    <w:p>
      <w:r>
        <w:t>En l'espèce, l'OCAI n'a envisagé aucune mesure de réadaptation professionnelle en faveur de l'assuré, considérant qu'elle ne serait ni simple, ni adéquate et ne respecterait pas le principe de l'équivalence. Il s'avère en effet qu'il existe différents secteurs d'activité dans lesquels l'assuré serait en mesure de mettre en valeur sa capacité résiduelle de travail, compte tenu de ses limitations. Il y a ainsi lieu d'admettre, avec l'intimé, qu'une mesure de réadaptation ne serait pas indiquée. S'agissant en revanche du placement, il y a lieu de relever que l'art. 18 al. 1 LAI a été modifié lors de la 4 ème révision de la LAI. Aux termes de l'art. 18 al. 1 première phrase LAI (dans sa nouvelle teneur en vigueur depuis le 1 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 er janvier 2004) a dont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 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Il appartiendra à l'assuré de solliciter, le cas échéant, une telle mesure.</w:t>
      </w:r>
    </w:p>
    <w:p>
      <w:r>
        <w:rPr>
          <w:b/>
        </w:rPr>
        <w:t>E. 20</w:t>
      </w:r>
    </w:p>
    <w:p>
      <w:r>
        <w:t>En conséquence,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