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A/3796/2023 vom 22. Mai 2025</w:t>
      </w:r>
    </w:p>
    <w:p>
      <w:r>
        <w:t>GE Cour de justice, 2025-05-22, FR</w:t>
      </w:r>
    </w:p>
    <w:p>
      <w:r>
        <w:rPr>
          <w:b/>
        </w:rPr>
        <w:t xml:space="preserve">Quelle: </w:t>
      </w:r>
      <w:r>
        <w:t>https://mcp.opencaselaw.ch/entscheid/ge_gerichte_A_3796_2023</w:t>
      </w:r>
    </w:p>
    <w:p>
      <w:r>
        <w:t>FR: GE_GERICHTE A/3796/2023 du 22 mai 2025</w:t>
      </w:r>
    </w:p>
    <w:p>
      <w:r>
        <w:t>IT: GE_GERICHTE A/3796/2023 del 22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30 jours (art. 56 et 60 al. 1 LPGA) prévus par la loi, le recours est recevable.</w:t>
      </w:r>
    </w:p>
    <w:p>
      <w:r>
        <w:rPr>
          <w:b/>
        </w:rPr>
        <w:t>E. 2</w:t>
      </w:r>
    </w:p>
    <w:p>
      <w:r>
        <w:t>Le litige porte sur le statut à reconnaître à la recourante, sur le taux de la rente d'invalidité à lui octroyer, ainsi que sur son droit au versement d’une rente au-delà du 31 juillet 2021.</w:t>
      </w:r>
    </w:p>
    <w:p>
      <w:r>
        <w:rPr>
          <w:b/>
        </w:rPr>
        <w:t>E. 3.1</w:t>
      </w:r>
    </w:p>
    <w:p>
      <w:r>
        <w:t>Le 1 er janvier 2022, les modifications de la LAI du 19 juin 2020 (développement continu de l’AI ; RO 2021 705), y compris les ordonnances correspondantes, sont entrées en vigueur. Dans le cadre de cette révision, l'art. 17 LPGA a notamment été adapté.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 Dans les cas de révision selon l'art. 17 LPGA, conformément aux principes généraux du droit intertemporel ( cf .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 a RAI (arrêts du Tribunal fédéral 8C_55/2023 du 11 juillet 2023 consid. 2.2 ; 8C_644/2022 du 8 février 2023 consid. 2.2.3).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 cf. arrêt du Tribunal fédéral 9C _499/2022 du 29 juin 2023 consid. 4.1).</w:t>
      </w:r>
    </w:p>
    <w:p>
      <w:r>
        <w:rPr>
          <w:b/>
        </w:rPr>
        <w:t>E. 3.2</w:t>
      </w:r>
    </w:p>
    <w:p>
      <w:r>
        <w:t>En l’occurrence, le litige porte sur la quotité de la rente d'invalidité dont il n'est pas contesté que le droit est né antérieurement au 1 er janvier 2022. Dans la mesure où la recourante avait, au 1 er janvier 2022, 30 ans révolus mais moins de 55 ans, la quotité de sa rente subsistera tant que son taux d'invalidité ne subit pas de modification au sens de l'art. 17 al. 1 LPGA. Si une modification déterminante du taux d'invalidité se produit après le 31 décembre 2021, les dispositions de la LAI et du RAI dans leur version en vigueur à partir du 1 er janvier 2022 sont applicables. Toutefois, cette question peut demeurer en l'occurrence indécise au vu du sort réservé au recours. À toute fin utile, il sera relevé que les bases légales citées ci-dessous n'ont pas subi de changements lors des modifications de la LAI du 19 juin 2020.</w:t>
      </w:r>
    </w:p>
    <w:p>
      <w:r>
        <w:rPr>
          <w:b/>
        </w:rPr>
        <w:t>E. 4.1</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133 V 263 consid. 6.1). Selon l'art. 17 al. 1 LPGA, la rente d’invalidité est, d’office ou sur demande, révisée pour l’avenir, à savoir augmentée, réduite ou supprimée, lorsque le taux d’invalidité de l’assuré : subit une modification d’au moins 5 points de pourcentage (let. a) ou atteint 100% (let. b). Aux termes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(ATF 147 V 167 consid. 4.1 et les références).</w:t>
      </w:r>
    </w:p>
    <w:p>
      <w:r>
        <w:rPr>
          <w:b/>
        </w:rPr>
        <w:t>E. 4.2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4.3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w:t>
      </w:r>
    </w:p>
    <w:p>
      <w:r>
        <w:rPr>
          <w:b/>
        </w:rPr>
        <w:t>E. 4.3.1</w:t>
      </w:r>
    </w:p>
    <w:p>
      <w:r>
        <w:t>Dans un arrêt portant sur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4.3.2</w:t>
      </w:r>
    </w:p>
    <w:p>
      <w:r>
        <w:t>La procédure d'administration des preuves qui prévaut en matière de troubles douloureux sans substrat organique et de troubles psychosomatiques analogues est applicable à toutes les maladies psychiques ( cf . ATF 143 V 418 ) et notamment à la fibromyalgie (ATF 132 V 65 consid. 4.1). Bien que le diagnostic de fibromyalgie soit d'abord le fait d'un spécialiste en rhumatologie, une expertise psychiatrique est en principe nécessaire pour se prononcer sur l'incapacité de travail qu'engendre un tel trouble qui, du point de vue juridique, est similaire aux troubles somatoformes douloureux (douleurs non expliquées par un substrat organique) et doit être traité comme ceux-ci (ATF 132 V 65 consid. 4.3 ; arrêt du Tribunal fédéral 9C_710/2023 du 28 juin 2024 consid. 6.1).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w:t>
      </w:r>
    </w:p>
    <w:p>
      <w:r>
        <w:rPr>
          <w:b/>
        </w:rPr>
        <w:t>E. 4.4</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w:t>
      </w:r>
    </w:p>
    <w:p>
      <w:r>
        <w:rPr>
          <w:b/>
        </w:rPr>
        <w:t>E. 4.4.1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 122 V 157 consid. 1c).</w:t>
      </w:r>
    </w:p>
    <w:p>
      <w:r>
        <w:rPr>
          <w:b/>
        </w:rPr>
        <w:t>E. 4.4.2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Concernant le rapport du SMR, celui-ci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Enfin,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9C_486/2022 du 17 août 2023 consid. 6.5 et la référence).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 cf .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 du Tribunal fédéral I 35/03 du 24 octobre 2003 consid. 4.3 et les références, in Plädoyer 2004/3 p. 64 ; arrêt du Tribunal fédéral 9C_512/2013 du 16 janvier 2014 consid. 5.2.1).</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5</w:t>
      </w:r>
    </w:p>
    <w:p>
      <w:r>
        <w:t>En l'espèce, en juin 2012, la recourante a déposé une première demande de prestations, en invoquant une fibromyalgie et un état dépressif sévère, ainsi qu’une incapacité de travail depuis décembre 2011. Par décision du 29 novembre 2012, non contestée, l'intimé a nié à l’assurée le droit à toute prestation, l'incapacité de travail ayant duré moins d’une année. Le 23 août 2019, la recourante a déposé une nouvelle demande de prestations en invoquant, cette fois, des douleurs à l'épaule depuis 2017. Par décision du 16 octobre 2023, l'intimé lui a reconnu le droit à une demi-rente du 1 er février 2020 au 31 juillet 2021. Se fondant sur le rapport d'expertise du 7 juillet 2022 et sur les avis du SMR des 19 juillet 2022 et 25 avril 2023, l'intimé a admis une incapacité totale de travail dans toute activité à compter de novembre 2018, mais considéré que la recourante avait recouvré une pleine capacité dans une activité adaptée en mai 2021. À l'échéance du délai d'attente, en novembre 2019, l'incapacité de gain était partielle et ouvrait droit à une demi-rente. À partir de mai 2021, l'état de santé de la recourante s'étant amélioré au point de lui permettre d’exercer à 100% une activité adaptée, le degré d'invalidité n'était plus suffisant pour ouvrir droit à une rente, ce qui entrainait l’extinction du droit trois mois plus tard. Il n’est pas contesté par les parties que l’état de santé de l’assurée s’est aggravé, avec l’apparition de nouvelles atteintes, depuis la décision de refus de prestations du 29 novembre 2012, pas plus que n’est contestée l'incapacité totale de la recourante à exercer son activité habituelle depuis le 1 er novembre 2018. Le sont en revanche, le statut reconnu à la recourante – qui affirme que, si sa santé le lui avait permis, elle aurait travaillé à plein temps –, mais aussi sa capacité à exercer une activité adaptée à 100%, plus particulièrement la valeur probante du volet rhumatologique de l'expertise du 7 juillet 2022.</w:t>
      </w:r>
    </w:p>
    <w:p>
      <w:r>
        <w:rPr>
          <w:b/>
        </w:rPr>
        <w:t>E. 5.1</w:t>
      </w:r>
    </w:p>
    <w:p>
      <w:r>
        <w:t>Il convient par conséquent d’examiner en premier lieu la question de la valeur probante de ladite expertise.</w:t>
      </w:r>
    </w:p>
    <w:p>
      <w:r>
        <w:rPr>
          <w:b/>
        </w:rPr>
        <w:t>E. 5.1.1</w:t>
      </w:r>
    </w:p>
    <w:p>
      <w:r>
        <w:t>Sur le plan formel, le rapport d'expertise du 7 juillet 2022 répond aux réquisits jurisprudentiels en matière de valeur probante, puisqu’il comporte un résumé du dossier, une anamnèse détaillée, qu’il relaie les plaintes de la recourante, fait état des observations cliniques et contient une discussion du cas.</w:t>
      </w:r>
    </w:p>
    <w:p>
      <w:r>
        <w:rPr>
          <w:b/>
        </w:rPr>
        <w:t>E. 5.1.2</w:t>
      </w:r>
    </w:p>
    <w:p>
      <w:r>
        <w:t>Sur le fond, dans une appréciation générale, les experts ont retenu les diagnostics invalidants de syndrome lombo-vertébral chronique avec dysbalance musculaire et insuffisance de la sangle abdominale dans le cadre d'une discopathie dégénérative au niveau L4-L5 et L5-S1, de chondropathie rotulienne et d’omalgies droites. Les experts ont admis une totale incapacité à exercer l’activité habituelle depuis le 1 er novembre 2018 compte tenu des atteintes rhumatologiques et orthopédiques. En revanche, ils ont considéré que l’assurée avait recouvré une capacité de travail totale dans une activité adaptée à compter du 23 décembre 2020. Plus précisément, les experts ont expliqué que, d'un point de vue rhumatologique et de médecine interne, la capacité à exercer une activité adaptée avait toujours été de 100%. Du point de vue psychiatrique, elle était de 100% depuis le 1 er août 2012. Cela étant, du point de vue orthopédique, elle avait été nulle du 1 er novembre 2018 au 23 décembre 2020. Ils ont ensuite énuméré les différentes limitations fonctionnelles retenues sur les plans rhumatologique et orthopédique.</w:t>
      </w:r>
    </w:p>
    <w:p>
      <w:r>
        <w:rPr>
          <w:b/>
        </w:rPr>
        <w:t>E. 5.1.3</w:t>
      </w:r>
    </w:p>
    <w:p>
      <w:r>
        <w:t>La Cour de céans constate que le rapport d'expertise comporte des lacunes et des ambiguïtés quant au fond.</w:t>
      </w:r>
    </w:p>
    <w:p>
      <w:r>
        <w:rPr>
          <w:b/>
        </w:rPr>
        <w:t>E. 5.1.3.1</w:t>
      </w:r>
    </w:p>
    <w:p>
      <w:r>
        <w:t>En premier lieu, force est de constater que la problématique de la fibromyalgie n'a pas été instruite. En effet, l'expert rhumatologue, qui a confirmé le diagnostic de fibromyalgie (avec un score de Wolfe à 24/31), s’est contenté de la qualifier de non invalidante, sans fournir de plus amples explications ( cf . rapport d'expertise, p. 75) et ce, alors qu’il était tenu de se prononcer de manière circonstanciée sur la question. L’expertise avait précisément pour objet de clarifier la capacité de travail de l’assurée dans une activité adaptée, suite au rapport du 27 octobre 2021 du Dr D______, concluant à une fibromyalgie invalidante, un état dépressif et un déconditionnement physique. Il convient de souligner que, dans le cadre de son examen clinique, l'expert rhumatologue a pourtant évalué la fibromyalgie à un niveau de sévérité de 8 sur 12, ce qui laisse supposer une certaine intensité de symptômes. Dans ces conditions, une explication quant au caractère non invalidant retenu s'avérait d'autant plus indispensable. L'expert rhumatologue n'a pas non plus discuté les symptômes pourtant retenus dans le cadre de l'entretien clinique et l'anamnèse, à savoir l’importante fatigue et les troubles de la concentration et de la mémoire ( cf . rapport d'expertise p. 65). Par conséquent, l'expertise rhumatologique ne permet pas de comprendre pourquoi l’expert a jugé que la fibromyalgie ne s’exprimait pas de manière suffisamment intense pour justifier une incapacité de travail. La question de l’incidence de la fibromyalgie sur la capacité de travail n'a pas non plus été discutée par l'expert psychiatre. Il est pourtant rappelé que, selon la jurisprudence du Tribunal fédéral, bien que le diagnostic de fibromyalgie soit d'abord le fait d'un spécialiste en rhumatologie, une expertise psychiatrique est en principe nécessaire pour se prononcer sur l'incapacité de travail qu'engendre un tel trouble ( cf . arrêt du Tribunal fédéral 9C_435/2022 du 20 juin 2023 consid. 5.1). Or, l'expert psychiatre n'a nullement pris en considération cette atteinte, et n'a, a fortiori , pas évalué son éventuel caractère invalidant à l'aune des indicateurs définis par la jurisprudence. L'atteinte n'a pas non plus été examinée à titre de comorbidité. Il ressort du rapport de l'expert psychiatre qu'il n'a pas non plus pris en considération le symptôme de fatigue rapporté par la recourante. Il n'apparaît pas non plus que les experts rhumatologue et psychiatre aient procédé à une analyse concertée de l'éventuel caractère invalidant de la fibromyalgie, alors qu'une telle démarche aurait été souhaitable. Enfin, contrairement à ce qu'indique l'intimé, les médecins traitants de la recourante ne sont pas positionnés de la même manière que l'expert rhumatologue. On en veut pour démonstration le fait que le Dr D______ a qualifié la fibromyalgie d’invalidante dans son rapport du 27 octobre 2021. Il ressort de ce qui précède que le caractère invalidant ou non de la fibromyalgie n'a pas du tout été examiné dans le cadre de l'expertise, ce qui constitue une lacune manifeste.</w:t>
      </w:r>
    </w:p>
    <w:p>
      <w:r>
        <w:rPr>
          <w:b/>
        </w:rPr>
        <w:t>E. 5.1.3.2</w:t>
      </w:r>
    </w:p>
    <w:p>
      <w:r>
        <w:t>D'autres conclusions de l'expertise manquent de clarté ou de motivation. Ainsi, l’expert rhumatologue, à l'issue de l'examen clinique, mentionne différents diagnostics sans toutefois les reprendre ou les discuter dans son rapport. A la suite de l'examen du rachis, l'expert a conclu à des cervicalgies, des dorsalgies, un syndrome de dysbalance musculaire avec syndrome lombo-vertébral sur discopathies dégénératives. Suite à l'examen du bassin, il a retenu le diagnostic de myogélose de la musculature fessière bilatérale. Après examen des membres supérieurs, il a diagnostiqué, à droite, une probable bursite sous-acromiale résiduelle, une suspicion de capsulite rétractile et une myogélose de la musculature du trapèze, et, à gauche, une myogélose de la musculature du trapèze. À l'examen des coudes, l'expert a noté des épicondyalgies et épitrochléalgies. Après examen des genoux, il a diagnostiqué une chondropathie fémoro-patellaire à droite. Enfin, après une recherche des points fibromyalgiques, il a conclu à une fibromyalgie. Mais en définitive, sans donner d’explication, l’expert n’a retenu qu’un syndrome lombo-vertébral chronique avec dysbalance musculaire et insuffisance de la sangle abdominale dans le cadre d'une discopathie dégénérative au niveau L4-L5 et L5-S1 et une chondropathie rotulienne au titre d’atteintes ayant une incidence sur la capacité de travail. Les autres atteintes observées n'ont fait l’objet d’aucune discussion et l'expert n’a aucunement motivé les raisons qui l’ont conduit à ne retenir en définitive que deux diagnostics invalidants. Cette absence d'explications entre les constatations cliniques et les conclusions diagnostiques rend le rapport peu clair et soulève des doutes importants quant à la portée exacte de l'évaluation médicale.</w:t>
      </w:r>
    </w:p>
    <w:p>
      <w:r>
        <w:rPr>
          <w:b/>
        </w:rPr>
        <w:t>E. 5.1.4</w:t>
      </w:r>
    </w:p>
    <w:p>
      <w:r>
        <w:t>Au vu de ce qui précède, la Cour de céans considère qu'en raison des lacunes et incohérences relevées dans les volets rhumatologique et psychiatrique, notamment, l'expertise du SMEX du 7 juillet 2022 ne permet pas de déterminer précisément la capacité de travail de la recourante, de sorte qu'elle ne peut pas se voir reconnaître pleine valeur probante.</w:t>
      </w:r>
    </w:p>
    <w:p>
      <w:r>
        <w:rPr>
          <w:b/>
        </w:rPr>
        <w:t>E. 5.2</w:t>
      </w:r>
    </w:p>
    <w:p>
      <w:r>
        <w:t>En ce qui concerne les rapports du SMR, il convient de rappeler que des exigences strictes doivent être posées en matière de preuve.</w:t>
      </w:r>
    </w:p>
    <w:p>
      <w:r>
        <w:rPr>
          <w:b/>
        </w:rPr>
        <w:t>E. 5.2.1</w:t>
      </w:r>
    </w:p>
    <w:p>
      <w:r>
        <w:t>Les conclusions du rapport du SMR 19 juillet 2022, en tant qu'elles reprennent presque entièrement celles de l'expertise du 7 juillet 2022 dont la valeur probante n'est pas reconnue, ne sauraient être suivies.</w:t>
      </w:r>
    </w:p>
    <w:p>
      <w:r>
        <w:rPr>
          <w:b/>
        </w:rPr>
        <w:t>E. 5.2.2</w:t>
      </w:r>
    </w:p>
    <w:p>
      <w:r>
        <w:t>Le 25 avril 2023, le SMR s'est prononcé sur le rapport du Dr Q______ du 27 mars 2023, le psychiatre traitant de la recourante depuis le 11 janvier 2023, concluant à un épisode dépressif moyen avec syndrome somatique (F32.11) et à une fibromyalgie (M79.7) ainsi qu'une « inefficacité de 80% » dans une activité adaptée. Le Dr Q______ indiquait notamment qu'en lien avec la fibromyalgie, la recourante se plaignait de fatigue, de douleurs musculaires migrantes et de douleurs du rachis ; elle évoquait aussi des symptômes cognitifs. Le SMR a considéré que la fatigue subjective ressentie était principalement inhérente à la fibromyalgie, laquelle avait fait l’objet d’une évaluation par les experts du SMEX. Or, tel n’est pas le cas, comme on l’a vu plus haut. Ensuite, en retenant que la fatigue subjective ressentie par la recourante serait principalement inhérente à la fibromyalgie, le SMR justifie les doutes quant au caractère non invalidant de celle-ci, puisque cela n’a fait l’objet d’aucune discussion dans l’expertise.</w:t>
      </w:r>
    </w:p>
    <w:p>
      <w:r>
        <w:rPr>
          <w:b/>
        </w:rPr>
        <w:t>E. 5.2.3</w:t>
      </w:r>
    </w:p>
    <w:p>
      <w:r>
        <w:t>Partant, les avis du SMR se révèlent dénués de force probante.</w:t>
      </w:r>
    </w:p>
    <w:p>
      <w:r>
        <w:rPr>
          <w:b/>
        </w:rPr>
        <w:t>E. 5.3</w:t>
      </w:r>
    </w:p>
    <w:p>
      <w:r>
        <w:t>Eu égard de ce qui précède, l'intimé ne pouvait se fonder sur l'expertise du 7 juillet 2022 et les avis du SMR des 19 juillet 2022 et 25 avril 2023 pour retenir une capacité de la recourante à exercer à 100% une activité adaptée dès mai 2021. Compte tenu des imprécisions qui subsistent sur le plan médical, l'instruction du dossier par l'intimé se révèle lacunaire. Une instruction complémentaire s'avérant nécessaire, la cause est renvoyée à l'intimé pour ce faire. Il lui incombera de recueillir toutes les pièces utiles auprès des médecins traitants, notamment rhumatologue et psychiatre traitants avant de procéder à une nouvelle expertise pluridisciplinaire (rhumatologique, psychiatrique et orthopédique) en veillant à ce que les experts se prononcent en particulier sur le caractère invalidant ou non de la fibromyalgie en appliquant les indicateurs jurisprudentiels. Il reviendra également à l'intimé, dans le cadre de cette instruction, de soumettre le rapport des EPI du 15 février 2023 aux experts afin qu'ils prennent position sur ses conclusions, étant rappelé que ledit rapport faisait état, notamment d'une importante fragilité psychologique. Postérieur au rapport d'expertise du 7 juillet 2022, il mentionnait des symptômes rapidement niés par l’expert psychiatre, tels que la difficulté de l’assurée à maintenir une attention/concentration adéquate, sa mémoire lacunaire et sa fragilité psychologique.</w:t>
      </w:r>
    </w:p>
    <w:p>
      <w:r>
        <w:rPr>
          <w:b/>
        </w:rPr>
        <w:t>E. 5.4</w:t>
      </w:r>
    </w:p>
    <w:p>
      <w:r>
        <w:t>À ce stade de la procédure, l'examen des critiques de la recourante quant à son statut se révèle prématuré.</w:t>
      </w:r>
    </w:p>
    <w:p>
      <w:r>
        <w:rPr>
          <w:b/>
        </w:rPr>
        <w:t>E. 6</w:t>
      </w:r>
    </w:p>
    <w:p>
      <w:r>
        <w:t>En conséquence, le recours est partiellement admis, la décision litigieuse annulée et la cause renvoyée à l'intimé pour instruction complémentaire au sens des considérants et nouvelle décision. La recourante a droit à des dépens, qui seront fixés à CHF 2'500.- (art. 61 let. g LPGA ; art. 6 du règlement sur les frais, émoluments et indemnités en matière administrative du 30 juillet 1986 [RFPA - E 5 10.03]). La procédure en matière d'octroi de prestations de l'assurance-invalidité n'étant pas gratuite et au vu du sort du recours, il y a lieu de condamner l'intimé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