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A/3781/2023 vom 6. März 2024</w:t>
      </w:r>
    </w:p>
    <w:p>
      <w:r>
        <w:t>GE Cour de justice, 2024-03-06, FR</w:t>
      </w:r>
    </w:p>
    <w:p>
      <w:r>
        <w:rPr>
          <w:b/>
        </w:rPr>
        <w:t xml:space="preserve">Quelle: </w:t>
      </w:r>
      <w:r>
        <w:t>https://mcp.opencaselaw.ch/entscheid/ge_gerichte_A_3781_2023</w:t>
      </w:r>
    </w:p>
    <w:p>
      <w:r>
        <w:t>FR: GE_GERICHTE A/3781/2023 du 6 mars 2024</w:t>
      </w:r>
    </w:p>
    <w:p>
      <w:r>
        <w:t>IT: GE_GERICHTE A/3781/2023 del 6 marzo 2024</w:t>
      </w:r>
    </w:p>
    <w:p>
      <w:pPr>
        <w:pStyle w:val="Heading2"/>
      </w:pPr>
      <w:r>
        <w:t>Erwägungen</w:t>
      </w:r>
    </w:p>
    <w:p>
      <w:r>
        <w:rPr>
          <w:b/>
        </w:rPr>
        <w:t>E. 23</w:t>
      </w:r>
    </w:p>
    <w:p>
      <w:r>
        <w:t>octobre 2017. d. Le 24 octobre 2017, l'assuré a bénéficié d'une ligamentoplastie effectuée par le Dr F______. e. Dans un rapport du 19 avril 2018, le Dr F______ a indiqué que l'assuré était toujours algique en raison de son algodystrophie qui avait été confirmée par une scintigraphie osseuse. f. Selon un projet d'acceptation de rente du 4 décembre 2018, l'office de l'assurance-invalidité du canton de Genève (ci-après : l'OAI) a octroyé à l'assuré une rente d'invalidité entière dès le 1 er août 2015, basée sur un degré d'invalidité de 100%. g. Dans un rapport du 11 février 2019, le Dr F______ a relevé l'évolution surprenante et très douloureuse au niveau du compartiment interne du genou gauche après une ligamentoplastie du LCA de type DT4 réalisée en octobre 2017, avec une ablation de la plaquette fémorale le 2 octobre 2018. Les deux interventions s'étaient compliquées d'une algodystrophie. h. Le 4 juin 2019, l'assuré a subi une ablation de matériel du genou gauche (endobouton tibial) en raison des douleurs relevées suite à l'opération du</w:t>
      </w:r>
    </w:p>
    <w:p>
      <w:r>
        <w:rPr>
          <w:b/>
        </w:rPr>
        <w:t>E. 24</w:t>
      </w:r>
    </w:p>
    <w:p>
      <w:r>
        <w:t>octobre 2017. i. Le 13 septembre 2019, l'assuré a été examiné par un médecin de la SUVA. Cet examen avait toutefois dû être interrompu en raison d'une grande agitation de l'intéressé et de menaces de mort proférées par ce dernier à l'encontre du médecin d'assurance en charge de l'examiner. À teneur du rapport du même jour, le médecin de la SUVA avait retenu, sur le plan de l'exigibilité et sur le plan orthopédique, une capacité de travail de 50%, dès ce jour, dans une activité réalisée essentiellement en position assise, avec un port de charge ponctuel limité à 5 kg, sans devoir se déplacer de façon régulière dans les escaliers. Progressivement, après réentrainement à l'effort par la reprise professionnelle et la poursuite de la physiothérapie pour renforcer la musculature du genou, un taux d'activité de 100%, sans baisse de rendement, était attendu au bout de trois mois. j. Le 4 septembre 2020, l'assuré a bénéficié d'une nouvelle arthroscopie du genou gauche effectuée par le Dr F______. À l'issue de l'intervention, le claquement audible avait disparu. Selon le spécialiste, on s'orientait de nouveau vers une algodystrophie. k. Dans un rapport du 9 novembre 2020, le docteur G______, spécialiste FMH en chirurgie orthopédique et médecin d'arrondissement de la SUVA, a indiqué que l'incapacité de travail était toujours justifiée médicalement, que celle-ci était a priori en lien avec les troubles du genou gauche, ceux-ci n'étant toutefois pas stabilisés. Le spécialiste refusait d'examiner l'assuré en raison du risque sécuritaire causé par ce dernier lors du dernier examen par un médecin de la SUVA. l. À teneur du rapport du 1 er mars 2021 du docteur H______, spécialiste FMH en chirurgie orthopédique et médecin d'arrondissement de la SUVA, l'incapacité de travail semblait toujours justifiée, les troubles du genou n'étant vraisemblablement pas stabilisés. Selon le rapport de consultation du Dr F______ du 3 février 2021, l'assuré présentait la maladie de Sudeck en phase évolutive. Or, il était impossible de faire une prévision précise quant à la future stabilisation dans le cadre d'une maladie de Sudeck, de sorte que le médecin ne pouvait statuer à ce stade. m. Selon un rapport du 29 juin 2021 du docteur I______, spécialiste FMH en orthopédie et médecin-conseil de l'assurance, l'assuré présentait un syndrome douloureux régional complexe (ci-après : CRPS pour Complex regional pain syndrome) qui était toujours présent à 8 mois de l'intervention, de sorte que l'incapacité de travail était toujours justifiée. L'état de santé n'était pas stabilisé et le point devrait être fait une année après de l'intervention. Sur la base de l'imagerie à disposition, il n'y avait pas d'atteinte à l'intégrité susceptible d'être indemnisée. n. Selon le rapport de consultation du Dr F______ du 25 avril 2022, une IRM effectuée le 24 mars 2022 avait montré une discrète infiltration de la graisse de Hoffa avec persistance d'un petit noyau fibreux à la face antérieure de la ligamentoplastie en faveur d'un « cyclope syndrom » . Il n'y avait pas de lésion méniscale mise en évidence. L'intéressé avait décrit des dysesthésies sur l'ensemble de la jambe et un réveil important des douleurs au niveau de la cheville. Il pouvait s'agir d'une possible récidive de fibrose antérieure du genou. Selon le spécialiste, il n'y avait pas d'urgence à proposer une nouvelle arthroscopie, ce d'autant plus que le patient était sujet à l'algodystrophie. Le Dr F______ a indiqué qu'il prévoyait de revoir l'assuré dans deux mois ou avant, à sa demande. o. Dans un rapport du 13 juin 2022, le Dr I______ a indiqué que l'état de l'assuré était, a priori , stabilisé pour le genou dès lors que le Dr F______ n'avait pas formulé de nouvelle proposition thérapeutique dans son dernier rapport. Le Dr I______ demandait que soit examinée la nécessité d'examiner l'assuré à l'agence de la SUVA. p. Dans un rapport de suivi de consultation du 27 juin 2022, le Dr F______ a indiqué que l'assuré présentait des douleurs importantes au moindre toucher du nodule fibreux en regard de la cicatrice antéro-interne et décrivait également des douleurs à la partie antérieure du genou en flexion. Le spécialiste se disait « bien embêté chez ce patient qui, à chaque fois qu'on le touche chirurgicalement, fait une algodystrophie », les douleurs au niveau du nodule étant, apparemment, très intenses. Par ailleurs, il existait le « cyclope syndrom » qui pouvait expliquer ses difficultés à passer en extension. Tant le Dr F______ que l'assuré étaient conscients du risque d'algodystrophie. Ce dernier en avait marre de souffrir et était prêt à subir une nouvelle arthroscopie, prévue pour le 13 septembre 2022. q. Dans un rapport du 28 juin 2022, un médecin de la SUVA [NDLR : le rapport ne permet pas d'identifier son nom] a indiqué que l'arthroscopie prévue était en lien de causalité avec l'événement du 13 septembre 2013 et était justifiée, précisant que l'IRM objectivait un « cyclope syndrom » et qu'une stabilisation était attendue à trois mois de l'intervention si la rééducation était adéquate. L'exigibilité était donnée, bien qu'il n'y ait pas de garantie de résultat. L'incapacité de travail était toujours justifiée pour le genou, mais pas pour les cervicales, ni pour la problématique de la cheville gauche. Une capacité de travail n'était plus exigible pour une activité lourde, contrairement à une activité légère qui serait exigible à la stabilisation de l'état de santé. r. Le 13 septembre 2022, l'assuré a bénéficié d'une arthroscopie du genou gauche et de l'exérèse d'une lésion sous-cutanée. Selon le compte rendu opératoire du Dr F______ du même jour, l'assuré présentait des douleurs importantes au moindre toucher d'un nodule fibreux en regard de la cicatrice antéro-interne et décrivait des douleurs à la partie antérieure du genou en flexion. s. Selon un rapport du Dr F______ du 24 octobre 2022, il semblait que le patient se dirigeait « tout droit vers une algodystrophie avec des brûlures ». L'arrêt de travail était prolongé de deux mois et l'intéressé serait alors à nouveau examiné. La douleur devait être prise en charge de manière symptomatique. Concernant l'IRM du pied droit, le spécialiste a indiqué que le bilan ne montrait pas d'anomalie de l'aponévrose plantaire et qu'il n'y avait pas d'argument pour une maladie de Ledderhose. t. Dans un rapport du 2 janvier 2023, le Dr F______ a relevé que l'algodystrophie réveillait, chez l'assuré, des dysesthésies dans tout le membre inférieur gauche et qu'il se plaignait de migraines intenses. Le médecin a constaté un lasègue négatif, les pouls distaux bien perçus, une lame d'épanchement intra articulaire et une mobilité 0°-110°. Il a retenu une algodystrophie touchant l'ensemble du membre inférieur gauche et a préconisé une prise en charge symptomatique de la douleur, ainsi qu'une rééducation douce. Compte tenu des dysesthésies et de la faiblesse des membres inférieurs, le spécialiste a demandé un scanner lombaire et a mis l'assuré en arrêt de travail pendant trois mois. u. Dans un rapport du 2 janvier 2023, le docteur J______, médecin spécialiste en médecine du sport en France et médecin traitant de l'assuré, a indiqué que ce dernier présentait toujours des céphalées d'origine cervicale qui pouvaient être intenses et prolongées, entrainant des troubles visuels. L'intéressé avait également des douleurs dorsales et était soulagé transitoirement par des manipulations cervicales et dorsales. Il présentait en outre un syndrome de stress post-traumatique pour lequel il avait été adressé à un psychiatre. v. Dans son rapport du 3 janvier 2023, le Dr I______ a retenu que le diagnostic de CRPS n'était pas confirmé dès lors que le rapport de consultation du Dr F______ du 2 janvier 2023 ne permettait pas de suivre les critères de Budapest. Toutefois, au vu des antécédents de CRPS, il fallait considérer ce diagnostic comme probable. Le médecin de la SUVA a également qualifié de probable le rapport de causalité entre le CRPS et l'événement du 13 septembre 2013 dans la mesure où l'intervention du 13 septembre 2022 était en rapport de causalité naturelle probable avec cet événement. Concernant les éventuelles mesures raisonnables permettant d'optimiser le traitement, le spécialiste a indiqué que la question d'un séjour à la Clinique romande de réadaptation (ci-après : CRR) se posait après le bilan initié ambulatoirement. Quant au scanner lombaire, il ne faisait pas partie des traitements en relation avec les lésions concernant l'événement du 13 septembre 2013, ni avec l'événement du 19 juin 2012. S'agissant de la stabilisation du cas du genou à plus de trois mois de l'intervention, il fallait prévoir un séjour à la CRR, dès lors qu'un examen par un médecin de l'assurance n'était pas indiqué au vu de l'attitude agressive de l'assuré lors du dernier examen à l'agence de la SUVA. Dans le même rapport, le Dr I______ a indiqué que la stabilisation de l'état sur dossier semblait plus opportune. Le spécialiste a ajouté que, dans l'hypothèse où l'état de santé était stationnaire, il conviendrait de demander à l'assuré son accord pour un séjour à la CRR. w. Selon un rapport du 6 avril 2023 du Dr F______, le genou gauche de l'assuré avait un bel aspect et était sec. La mobilité du genou gauche (flexion/extension) était de 110-0° et sa sensibilité diffuse, surtout sur la partie haute et antérieure du tibia. Le spécialiste ne prescrivait pas de radiographie et indiquait qu'il ne fallait plus opérer l'assuré, sauf si cela était vraiment nécessaire, ce dernier devant être au repos. x. À teneur du rapport du Dr I______ du 10 mai 2023, l'état de santé de l'assuré était stabilisé à six mois de l'intervention. En effet, dans son dernier rapport, le Dr F______ ne proposait plus d'intervention et constatait la stagnation de l'état clinique. Par ailleurs, du fait des antécédents comportementaux de l'assuré à l'agence de la SUVA, il était exclu que l'intéressé soit à nouveau examiné par un médecin de la SUVA. Quant à la capacité de travail, l'exigibilité comme maçon n'était plus donnée. En revanche, on pouvait retenir les limitations fonctionnelles établies par le médecin de la SUVA dans son rapport du 13 septembre 2019 du fait d'une amyotrophie modérée et de la limitation de la mobilité, ainsi qu'en raison de la ligamentoplastie réalisée au niveau de la cheville gauche qui avait permis d'obtenir une bonne stabilité de celle-ci. Dès lors, une capacité de travail de 100%, sans baisse de rendement, était attendue dans une activité réalisée essentiellement en position assise, avec un port de charge ponctuel limité à 5 kg, sans devoir se déplacer de façon régulière dans les escaliers. y. Dans un rapport du 26 juin 2023, le Dr I______ a constaté une déchirure du ligament croisé antérieur du genou gauche avec ligamentoplastie en 2017, le développement d'un amincissement de l'espace fémoro-tibial interne à la radiologie, dans le sens d'une gonarthrose interne, ainsi que la persistance d'une discrète raideur et des épanchements lors des surcharges mécaniques. Au vu de ces éléments, ce spécialiste a évalué l'atteinte à l'intégrité conformément à la table d'indemnisation pour atteinte à l'intégrité n°5, applicable à une atteinte à l'intégrité résultant d'arthrose de type fémoro-tibiale moyenne asymptomatique. Dans le cas d'espèce, il s'agissait d'une arthrose moyenne, soit une atteinte à l'intégrité de 10%. z. Par décision du 14 juillet 2023, la SUVA a informé l'assuré que, sur la base des éléments médicaux en sa possession, son service médical avait estimé qu'il n'avait plus besoin de traitement. Par conséquent, elle mettait fin au paiement des soins médicaux et au versement de l'indemnité journalière avec effet au 31 juillet 2023. Une capacité de travail de 100%, sans baisse de rendement, était attendue de l'assuré, dans une activité réalisée essentiellement en position assise, avec un port de charge ponctuel limité à 5 kg, sans devoir se déplacer de façon régulière dans les escaliers. D. a. Par décision du 28 septembre 2023, la SUVA a accordé à l'assuré une indemnité pour atteinte à l'intégrité (ci-après : IPAI) de 10% et, dès le 1 er août 2023, une rente d'invalidité de 17%, considérant qu'en dépit de ses séquelles accidentelles, l'intéressé demeurait capable d'exercer à plein temps une activité adaptée à son état de santé. b. Le 11 octobre 2023, l'assuré, par l'intermédiaire de son conseil, a formé opposition contre cette décision, faisant valoir que, compte tenu du préjudice corporel très important subi à la suite de l'accident de travail, le taux de l'IPAI arrêté à 10% était totalement dérisoire. Il demandait que soit ordonnée une mesure d'expertise médicale contradictoire effectuée par un spécialiste qui n'avait aucun lien avec la SUVA. c. Le 17 octobre 2023, l'intéressé a complété son opposition indiquant que la décision de fixer le taux de l'atteinte à l'intégrité à 10% apparaissait totalement dérisoire au vu de l'évaluation du préjudice corporel effectuée par l'office AI pour les assurés résidant à l'étranger (ci-après : OAIE) qui avait fait apparaître un degré d'invalidité de 100%. Il a en outre adressé à la SUVA la copie des documents suivants : -          la correspondance reçue de l'OAIE du 4 août 2020 à teneur de laquelle cet office indiquait avoir prévu une révision de la rente d'invalidité et demandait que lui soit transmis un rapport médical sur l'état de santé actuel de l'assuré et un rapport d'un examen orthopédique ; -          un projet de décision de l'OAI, non daté, qui faisait état d'un degré d'invalidité de 100% ; -          les décisions du 28 février 2019 concernant les rentes ordinaires d'invalidité pour enfant liées à la rente du père. d. Par décision sur opposition du 3 novembre 2023, la SUVA a rejeté l'opposition. Elle a relevé que le seul point contesté par l'assuré était le taux de l'IPAI retenu pour les séquelles de l'accident du 3 septembre 2013 et que les autres points de la décision querellée n'étaient pas contestés, de sorte que ceux-ci étaient d'ores et déjà entrés en force. S'agissant de l'IPAI, l'assuré n'avait fourni aucun élément médical permettant de douter de l'estimation du médecin de l'assurance. Par ailleurs, la décision de l'OAI ne lui était d'aucun secours dès lors que l'incapacité de gain et l'IPAI visaient à compenser des préjudices différents et que l'assurance-invalidité était tenue de prendre en charge les suites de toutes les atteintes à la santé, alors que la SUVA ne répondait que des atteintes à la santé qui étaient en relation de causalité naturelle et adéquate avec un événement assuré ou une maladie professionnelle. Ainsi, aucune autre mesure d'instruction n'était nécessaire et il pouvait être statué sans devoir recourir à une expertise externe. E. a. Par acte daté du 9 novembre 2023 et reçu le 15 novembre 2023, l'assuré a saisi la chambre de céans d'un recours, reprenant, en substance, la motivation contenue dans son opposition. b. Dans sa réponse du 21 novembre 2023, l'intimée a conclu, principalement, à l'irrecevabilité du recours et, subsidiairement, au rejet de celui-ci. L'argumentation confuse contenue dans le recours ne permettait pas de savoir pour quelles raisons le recourant contestait le montant de l'IPAI et ce dernier n'avait pris aucune conclusion. Sur le fond, l'intimée a confirmé la teneur de la décision querellée. c. Par mémoire de réponse [ recte : mémoire de réplique] adressé à la chambre de céans le 30 novembre 2023, le recourant a produit les pages 3 à 6 d'un décompte de prestations, non daté, indiquant que son degré d'invalidité était de 100%, le projet de décision de l'OAI, non daté, qui faisait état d'un degré d'invalidité de 100%, ainsi que les décisions de l'OAI du 28 février 2019 concernant les rentes ordinaires d'invalidité pour enfant liées à sa rente d'invalidité. Il s'est référé au « document provenant de l'office de l'assurance-invalidité suisse pour les assurés résidant à l'étranger qui décide que compte tenu de la gravité de ses blessures résultant de son accident, [il] avait droit dès le 1 er août 2015 à une rente entière basée sur un degré d'invalidité de 100% ». L'intéressé a en outre produit le bilan de consultation du Dr F______ du 7 juillet 2023 à teneur duquel le tableau était inchangé, avec plusieurs dysesthésies du membre inférieur. Selon ce médecin traitant, le recourant conservait par ailleurs d'importantes douleurs surtout la nuit et décrivait des réveils importants et douloureux au niveau de sa cheville gauche. Au vu de ces éléments, l'intéressé a fait valoir qu'il n'y avait aucune amélioration de son état de santé et a conclu à l'annulation des décisions de l'intimée du 3 novembre 2023 et du 28 septembre 2023. d. Le 7 décembre 2023, la chambre de céans a transmis au recourant la copie de la correspondance adressée à l'intimée le même jour. À teneur de celle-ci, la chambre de céans transmettait à l'intimée un exemplaire du mémoire de réplique du 28 novembre 2023 et lui impartissait un délai au 4 janvier 2024 pour se déterminer. e. Dans sa duplique du 12 décembre 2023, l'intimée a persisté dans ses conclusions. f. Le 19 décembre 2023, le recourant a indiqué à la chambre de céans qu'il n'avait pas reçu les écritures de l'intimée qui devaient être annexées au courrier du 7 décembre 2023, de sorte qu'il n'était pas en mesure de se déterminer dans le délai imparti au 4 janvier 2024. g. Selon une note du greffe du 2 janvier 2024, il a été expliqué par téléphone au conseil du recourant que le délai échéant au 4 janvier 2024 avait été imparti à l'intimée pour produire sa duplique. Le recourant a confirmé avoir reçu la duplique du 12 décembre 2023 et ne s'est plus déterminé après réception de celle-ci. EN DROIT 1.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al. 2 LPGA, si l’assuré ou une autre partie sont domiciliés à l’étranger, le tribunal des assurances compétent est celui du canton de leur dernier domicile en Suisse ou celui du canton de domicile de leur dernier employeur suisse. 1.2 En l'espèce, le recourant, domicilié en France, a travaillé en dernier lieu pour un employeur ayant son siège dans le canton de Genève. 1.3 La compétence de la chambre de céans pour juger du cas d’espèce est ainsi établie. 2. Le 1 er janvier 2021 est entrée en vigueur la modification du 21 juin 2019 de la LPGA. Dans la mesure où le recours a été interjeté postérieurement au 1 er janvier 2021, il est soumis au nouveau droit (cf. art. 82a LPGA a contrario ).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Dans son mémoire de réponse du 21 novembre 2023, l'intimée a conclu à l'irrecevabilité du recours au motif que l'argumentation contenue dans celui-ci ne permettait pas de savoir pour quelles raisons le recourant contestait le montant de l'IPAI et que le recourant n'avait pas pris de conclusions. Selon l'art. 61 let. b LPGA, l'acte de recours doit contenir un exposé succinct des faits et des motifs invoqués, ainsi que les conclusions. Pour être en présence d’un recours, il faut que le recourant s’identifie et manifeste clairement sa volonté de recourir contre une décision déterminée, c’est-à-dire qu’il exprime de manière reconnaissable sa volonté de modifier la situation juridique résultant de cette décision. L’acte de recours doit contenir un exposé succinct des faits et des motifs invoqués, ainsi que des conclusions. Il suffit que le tribunal puisse déduire de l’acte de recours ce que souhaite le recourant et pour quels motifs la décision contestée est, d’après lui, erronée sur le plan factuel ou juridique. Si les conclusions manquent, le tribunal examinera s’il peut les déduire de la motivation. Cette dernière permet également d’interpréter, conformément au principe de la bonne foi, des conclusions qui seraient formulées de manière peu claire (ATF 116 V 353 consid. 2b ; 136 V 131 consid. 1.2 ; 123 IV 125 consid. 1 ; arrêt du Tribunal fédéral 4A_375/2012 consid. 1.2 non publié in ATF 139 III 24 ; cf. Jean MÉTRAL, in Dupont/Moser-Szeless [éd.], Commentaire romand de la loi sur la partie générale des assurances sociales, n. 43 ad art. 61 LPGA). En l'occurrence, si le mémoire de recours est effectivement particulièrement succinct et qu'il ne contient pas d'exposé des faits, ni de conclusions clairement formulées, force est de constater que l'on peut déduire de la motivation présentée que le recourant conteste le taux de l'IPAI de 10% faisant valoir l'incapacité totale de travail retenue par l'OAI. En outre, le recourant a complété sa motivation dans sa réplique du 9 novembre 2023 arguant que le taux de l'IPAI retenu par l'intimé était dérisoire en raison de l'absence d'amélioration de son état de santé. De cette motivation, l'on est en mesure de comprendre que le recourant prétend à une IPAI supérieure au taux de 10% retenu par l'intimée. Au vu de ces éléments, la chambre de céans retiendra que le recours respecte la condition de la forme prévue à l'art. 61 let. b LPGA. Interjeté dans la forme et dans le délai de trente jours prévu par la loi (art. 56 LPGA; art. 62 al. 1 de la de loi sur la procédure administrative du 12 septembre 1985 [LPA - E 5 10]), le recours est recevable. 5. 5.1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 5.2 En l'espèce, il ressort, tant de l'opposition du 11 octobre 2023 que du recours et de la réplique, que le recourant s'est limité à contester le taux de l'IPAI de 10% retenu par l'intimée, faisant valoir que ce taux serait dérisoire au regard du degré d'invalidité de 100% retenu par l'OAI et de l'absence d'amélioration de son état de santé. Le recourant n'a ainsi pas contesté la rente d'invalidité octroyée par l'intimée, de sorte que celle-ci est entrée en force. Dès lors, conformément à ce qu'a retenu l'intimée dans la décision querellée, l'objet du présent litige est limité à la question du taux de l'indemnité pour atteinte à l'intégrité et au montant de celle-ci. 6. 6.1 La décision sur opposition remplace la décision initiale et devient, en cas de recours à un juge, l'objet de la contestation de la procédure judiciaire (arrêt du Tribunal fédéral 9C_777/2013 consid. 5.2.1). 6.2 En l'occurrence, dans son mémoire de réplique du 28 novembre 2023, le recourant a conclu, à la fois, à l'annulation de la décision sur opposition du 3 novembre 2023 et à l'annulation de la décision initiale du 28 septembre 2023. Or, en l'application de la jurisprudence susvisée, la décision du 3 novembre 2023 a remplacé la décision du 28 septembre 2023, de sorte que la conclusion tendant à l'annulation de cette dernière est irrecevable. 7. 7.1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8C_520/2009 du 24 février 2010 consid. 2; ATF 129 V 402 consid. 2.1 et les références). 7.2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125 II 169 consid. 2d). 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 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 7.3 Entre le 1 er janvier 2008 et le 31 décembre 2015, le montant maximum du gain assuré s’élevait à CHF 126'000.- par an et CHF 346.- par jour (art. 22 al. 1 aOLAA ; RO 2007 3667). En cas de rechute ou de séquelles tardives, la base de calcul déterminante pour le calcul de l'indemnité pour atteinte à l'intégrité due est le montant maximum du gain annuel assuré au jour de l'accident (ATF 127 V 456 consid. 4). 7.4 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7.5 Aux termes de l'art. 36 al. 4 OLAA, il est équitablement tenu compte des aggravations prévisibles de l'atteinte à l'intégrité ;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l'art. 36 al. 4 OLAA, doit être fixé sur la base de constatations médicales (arrêt du Tribunal fédéral 8C_745/2022 du 29 juin 2023 consid. 3.3 et les références). Si l'atteinte à la santé évolue dans le cadre du pronostic initial, il est exclu de réviser une indemnité pour atteinte à l'intégrité une fois que celle-ci a été accordée. En revanche, l'indemnité peut être réévaluée si l'atteinte à l'intégrité s'aggrave ultérieurement de manière significative (d’au moins 5%) par rapport au pronostic (cf. arrêt du Tribunal fédéral 8C_746/2022 du 18 octobre 2023 consid. 2.2. et les références ; RAMA 1991 n° U 132 p. 305).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7.6 Le CRPS est une pathologie neurologique, orthopédique et traumatologique et relève d’un trouble organique (arrêt du Tribunal fédéral 8C_232/2012 du</w:t>
      </w:r>
    </w:p>
    <w:p>
      <w:r>
        <w:rPr>
          <w:b/>
        </w:rPr>
        <w:t>E. 27</w:t>
      </w:r>
    </w:p>
    <w:p>
      <w:r>
        <w:t>mars 2018 consid. 5). Un CRPS peut également être admis comme étant la conséquence d’un accident lorsqu’il survient dans ce délai non pas après l’accident même, mais après une intervention chirurgicale nécessaire pour traiter les suites de cet accident (arrêt du Tribunal fédéral 8C_384/2009 du 5 janvier 2010 consid. 4.2.1). 7.7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126 V 353 consid. 5b et les références; 125 V 193 consid. 2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8. 8.1 En l'espèce, le 26 juin 2023, le Dr I______ a procédé à une évaluation de l'atteinte à l'intégrité du recourant, fondée exclusivement sur le dossier de la SUVA, en particulier sur les rapports du Dr F______, sans avoir procédé à l'examen clinique de l'intéressé. Il a évalué l'atteinte à l'intégrité de ce dernier à hauteur de 10% en se référant au tableau des atteintes à l'intégrité selon la LAA, table n°5 applicable aux atteintes à l'intégrité résultant d'arthroses (disponible sur : https://www.suva.ch/fr-ch/download/fiches-thematiques/tableau-05---atteinte-a-l-integrite-resultant-d--arthroses--2870/5.F). Compte tenu de la déchirure du ligament croisé antérieur du genou gauche avec ligamentoplastie effectuée en 2017, du développement d'un amincissement de l'espace fémoro-tibial interne à la radiologie (dans le sens d'une gonarthrose interne), ainsi que de la persistance d'une certaine raideur et d'épanchements lors des surcharges mécaniques, le Dr I______ a retenu une arthrose de type fémoro-tibiale moyenne asymptomatique qui correspondait au taux d'une arthrose moyenne, soit 10%. Le recourant a contesté cette appréciation, estimant que le taux de 10% était dérisoire au regard de l'incapacité de travail totale que lui avait reconnu l'OAI. 8.1.1 En premier lieu, la chambre de céans relève que les documents établis par l'OAI et l'OAIE produits par l'intéressé dans le cadre de la présente procédure ne lui sont d'aucun secours pour la détermination du taux de l'IPAI. En effet, la correspondance reçue de l'OAIE du 4 août 2020 indique que cet office prévoyait la révision de sa rente d'invalidité, de sorte qu'il n'est pas établi, au degré de la vraisemblance prépondérante, que son degré d'invalidité n'aurait pas été revu à la baisse dans l'intervalle. Il en va de même pour les décisions du 28 février 2019 concernant les rentes ordinaires d'invalidité pour enfant liées à la rente du père, ainsi que le projet de décision de l'OAI, non daté, faisant état d'un degré d'invalidité de 100%. En tout état de cause, ces pièces ne sont pas de nature à influer sur la détermination du taux de l'IPAI par la SUVA, dès lors que, selon la jurisprudence applicable, les décisions de l'assurance-invalidité n'ont pas force contraignante pour l'assureur-accidents (ATF 131 V 362 consid. 2.2). 8.1.2 Le recourant a en outre produit, à l'appui de sa réplique, le rapport du Dr F______ du 7 juillet 2023 qui n'avait pas été transmis à l'intimée avant la présente procédure. Ce médecin traitant y a décrit un tableau resté inchangé, avec d'importantes dysesthésies du membre inférieur et a indiqué la « poursuite du syndrome algodystrophie ». Le diagnostic d'algodystrophie, aussi connue sous les termes de syndrome douloureux régional complexe (CRPS – « Complex regional pain syndrome » en anglais) ou maladie de Sudeck, avait été posé pour la première fois par le Dr F______ le 31 juillet 2017, puis par les docteurs H______ (le 1 er mars 2021), I______ (le 29 juin 2021) et F______ (le 25 avril 2022, le 27 juin 2022, le 24 octobre 2022 et le 2 janvier 2023). Or, dans son rapport du 3 janvier 2023, le Dr I______ avait retenu que le diagnostic de CRPS n'était pas confirmé dès lors que la description de ce diagnostic par le Dr F______ dans son rapport du 2 janvier 2023 ne permettait pas de suivre les critères de Budapest. Le Dr I______ a tout de même retenu qu'un CRPS était probable au vu des antécédents de CRPS chez le recourant et a qualifié le rapport de causalité entre le CRPS et l'événement du 13 septembre 2013 de probable, « dans la mesure où l'intervention du 13 septembre 2022 était en rapport de causalité naturelle probable avec cet événement » (cf. rapport du Dr I______ du 3 janvier 2023). Dans son appréciation du 10 mai 2023, sur laquelle s'est fondée l'intimée pour rendre la décision litigieuse, le Dr I______ a répété que le diagnostic de CRPS n'était pas confirmé pour les motifs cités ci-avant et n'a pas évoqué celui-ci dans sa motivation de l'estimation de l'IPAI du 9 mai 2023. S'il est exact qu'à la lecture des pièces du dossier, il apparaît que les critères de Budapest n'ont pas été examinés en détail par Dr F______, il sied toutefois de constater que plusieurs d'entre eux ont été mentionnés par ce spécialiste dans plusieurs de ses rapports. Ont ainsi notamment été signalés des douleurs importantes entrainant une gêne à la rééducation et lors de l'examen clinique, l'existence d'un œdème prêt tibial (cf. rapport du 4 décembre 2017), des douleurs importantes au niveau du genou nécessitant l'usage des béquilles, une légère augmentation de la température cutanée (cf. rapport du 25 janvier 2018), une douleur importante à type de brûlures dans le genou de la mise en charge, d'importantes douleurs à la pression de l'interligne interne et au niveau de la sortie du tunnel tibial (cf. rapport du 12 novembre 2018), une douleur importante au niveau du compartiment interne du genou, une sensibilité très nette à la palpation de l'interligne interne et en regard de la sortie du tunnel tibial (cf. rapport du 11 février 2019), des brûlures dans le genou, surtout sur la partie antéro-interne, avec des dysesthésies dans tout le membre inférieur et une sensation de faiblesse (cf. rapport du 3 décembre 2020), des dysesthésies de tout le membre inférieur gauche (cf. rapport du 3 février 2021), des douleurs importantes à type de brûlures à la partie antérieure et supérieure du tibia (cf. rapport du 27 mai 2021), des douleurs avec d'importantes dysesthésies et une sensation de piqué en relation avec une petite formation kystique (cf. rapport du 30 août 2021), des brûlures et une très légère augmentation de la température cutanée (cf. rapport du 25 octobre 2022), des dysesthésies dans tout le membre inférieur gauche et faiblesse des membres inférieurs (cf. rapport du 2 janvier 2023), le genou dans l'ensemble sensible, mais surtout la partie haute et antérieure du tibia (cf. rapport du 6 avril 2023), d'importantes dysesthésies du membre inférieur avec d'importantes douleurs surtout la nuit, ainsi que des réveils importants douloureux au niveau de sa cheville gauche (cf. rapport du 7 juillet 2023). Au vu de ces éléments, le diagnostic de CRPS ne pouvait être valablement écarté par le Dr I______, au degré de la vraisemblance prépondérante, au motif que le rapport du Dr F______ du 2 janvier 2023 ne permettait pas de suivre les critères de Budapest. Cela est d'autant plus vrai que, selon l'avis du Dr H______, les critères de Budapest étaient remplis à teneur du rapport du Dr F______ du 3 février 2021, dès lors qu'appelé à se déterminer sur ce rapport, le Dr H______ a expressément relevé que le recourant présentait la maladie de Sudeck en phase évolutive (cf. rapport du Dr H______ du 1 er mars 2021). Dans ces circonstances, l'appréciation médicale du Dr I______, qui écarte le diagnostic de CRPS sans prendre en considération les éléments correspondants aux critères de Budapest consignés dans la plupart des rapports du Dr F______ et qui ne repose pas sur un examen médical du recourant, permet de douter de la fiabilité de l'appréciation du cas par le Dr I______, ce d'autant plus que ce dernier avait, dans son rapport du 29 juin 2021, retenu le diagnostic de CRPS sur la base du rapport du Dr BOCCACIO du 27 mai 2021. Au surplus, la chambre de céans relève que le dernier examen du recourant par un médecin de la SUVA remonte au 3 septembre 2019 et que l'intéressé n'a pas effectué de séjour à la CRR dans l'intervalle. Si l'on peut certes comprendre la réticence des médecins de la SUVA à examiner le recourant en raison des problèmes de sécurité rencontrés avec celui-ci lors de l'examen de septembre 2019, il apparaît, au vu des éléments susmentionnés, qu'un examen médical paraissait indiqué. L'intimée ayant prononcé la clôture du cas et examiné le droit à une IPAI sans avoir intégré à son appréciation le diagnostic de CRPS pourtant retenu par les Drs H______ et F______, la cause lui sera renvoyée pour qu'elle complète l'instruction sur ce point et qu’elle mette en œuvre une expertise, en application de l’art. 44 LPGA. Il n'appartient en effet pas à la chambre de céans d'ordonner elle-même une expertise judiciaire, dès lors que l'intimée a rendu la décision querellée sur la seule base de l'avis du Dr I______ dont la fiabilité ne peut être retenue. Par ailleurs, il ressort du rapport du Dr J______ du 2 janvier 2023 et des rapports du Dr F______ des 6 avril et 7 juillet 2023 que le recourant est suivi sur le plan psychiatrique et qu'un traitement par antidépresseurs (EFFEXOR 75 : 100 et EFFEXOR 37.5 : 010) lui a été prescrit. Toutefois, aucun rapport établi par un médecin psychiatre ne figure au dossier. Il s'agira donc également pour l'intimée de compléter l'instruction sur ce point. Il sera au demeurant relevé que l'instruction complémentaire devant être effectuée par l'intimée devra se limiter à l'instruction des éléments médicaux nécessaires à l'évaluation du taux de l'IPAI et à la détermination du montant de celle-ci, à l'exclusion de la question de la rente d'invalidité, dès lors que celle-ci n'a pas été contestée par le recourant et est donc entrée en force. 9. Eu égard à tout ce qui précède, le recours sera partiellement admis, la décision de l'intimée du 3 novembre 2023 concernant le droit du recourant à une indemnité pour atteinte à l'intégrité d'un taux de 10% annulée et la cause renvoyée à l’intimée pour instruction complémentaire au sens des considérants et nouvelle décision. 10. Étant donné que le recourant obtient partiellement gain de cause dans la procédure de recours, une indemnité de CHF 2’000.- lui sera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