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A/3778/2023 vom 27. Februar 2024</w:t>
      </w:r>
    </w:p>
    <w:p>
      <w:r>
        <w:t>GE Cour de justice, 2024-02-27, FR</w:t>
      </w:r>
    </w:p>
    <w:p>
      <w:r>
        <w:rPr>
          <w:b/>
        </w:rPr>
        <w:t xml:space="preserve">Quelle: </w:t>
      </w:r>
      <w:r>
        <w:t>https://mcp.opencaselaw.ch/entscheid/ge_gerichte_A_3778_2023</w:t>
      </w:r>
    </w:p>
    <w:p>
      <w:r>
        <w:t>FR: GE_GERICHTE A/3778/2023 du 27 février 2024</w:t>
      </w:r>
    </w:p>
    <w:p>
      <w:r>
        <w:t>IT: GE_GERICHTE A/3778/2023 del 27 febbraio 2024</w:t>
      </w:r>
    </w:p>
    <w:p>
      <w:pPr>
        <w:pStyle w:val="Heading2"/>
      </w:pPr>
      <w:r>
        <w:t>Erwägungen</w:t>
      </w:r>
    </w:p>
    <w:p>
      <w:r>
        <w:rPr>
          <w:b/>
        </w:rPr>
        <w:t>E. 7</w:t>
      </w:r>
    </w:p>
    <w:p>
      <w:r>
        <w:t>En l’espèce, dans sa décision, le PCTN mentionne uniquement que le recourant a subi un retrait de son permis de conduire en raison d’une infraction moyennement grave aux règles de la circulation routière en application de l’art. 16 b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moyennement grave rendue en application de l’art. 16 b LCR entre dans la catégorie des décisions incompatibles avec l’exercice de la profession au sens de l’art. 7 al. 3 let. e LTVTC. En revanche, la motivation sous l’angle du principe de proportionnalité, dont le recourant s’est prévalu dans ses observations, est inexistante. On comprend que le PCTN a prononcé la révocation de manière automatique en présence d’une infraction mentionnée à l’art. 6 al. 2 let. b RTVTC, renonçant à exercer son pouvoir d’appréciation.![endif]&gt;![if&gt;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de taxi dans les circonstances d’espèce. Par conséquent, la décision querellée doit être annulée et le dossier renvoyé au PCTN pour instruction complémentaire et nouvelle décision.</w:t>
      </w:r>
    </w:p>
    <w:p>
      <w:r>
        <w:rPr>
          <w:b/>
        </w:rPr>
        <w:t>E. 8</w:t>
      </w:r>
    </w:p>
    <w:p>
      <w:r>
        <w:t>Le recourant conteste également le refus de renouveler son AUADP.![endif]&gt;![if&gt;</w:t>
      </w:r>
    </w:p>
    <w:p>
      <w:r>
        <w:rPr>
          <w:b/>
        </w:rPr>
        <w:t>E. 8.1</w:t>
      </w:r>
    </w:p>
    <w:p>
      <w:r>
        <w:t>L’art. 13 LTVTC règle les modalités de l’AUADP.![endif]&gt;![if&gt;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w:t>
      </w:r>
    </w:p>
    <w:p>
      <w:r>
        <w:rPr>
          <w:b/>
        </w:rPr>
        <w:t>E. 8.2</w:t>
      </w:r>
    </w:p>
    <w:p>
      <w:r>
        <w:t>Il ressort de l’art. 13 al. 5 LTVTC que l’AUADP est délivrée sur requête pour six ans à une personne physique ou morale aux conditions énumérées sous let. a à c. Selon l’al. 7 de cette disposition, l’AUADP est renouvelée lorsque la requête en renouvellement est déposée 3 mois avant l’échéance de l’autorisation (let. a) ; les conditions de l’al. 5 sont toujours réalisées (let. b). Aux termes dudit al. 5, l’AUADP est délivrée, notamment, la requérante est titulaire d’une carte professionnelle de chauffeur de taxi (let. a).![endif]&gt;![if&gt;</w:t>
      </w:r>
    </w:p>
    <w:p>
      <w:r>
        <w:rPr>
          <w:b/>
        </w:rPr>
        <w:t>E. 8.3</w:t>
      </w:r>
    </w:p>
    <w:p>
      <w:r>
        <w:t>En l’espèce, la décision querellée, se fondant sur la révocation de la carte professionnelle de chauffeur de taxi du recourant, a refusé de renouveler son AUADP. Dès lors que, comme cela vient d’être exposé, la révocation précitée doit être annulée, le refus de renouveler l’AUADP n’est pas fondé non plus.![endif]&gt;![if&gt; Partant, la décision doit également être annulée sur ce point. Il appartiendra au PCTN de compléter son instruction et de rendre une nouvelle décision. Au vu de ce qui précède, le recours sera admis partiellement. Vu l’issue de la procédure, les conclusions préalables tendant à l’ouverture d’enquêtes et à la tenue d’une audience sont devenues sans objet.</w:t>
      </w:r>
    </w:p>
    <w:p>
      <w:r>
        <w:rPr>
          <w:b/>
        </w:rPr>
        <w:t>E. 9</w:t>
      </w:r>
    </w:p>
    <w:p>
      <w:r>
        <w:t>Vu l’issue de la procédure, aucun émolument ne sera perçu (art. 87 al. 1 LPA). Une indemnité de procédure de CHF 500.-, au vu de l’existence de plusieurs causes parallèles (arrêts du Tribunal fédéral du 21 février 2019 8D_2/2018 consid. 8 et 8D_3/2018 et 8D_4/2018 ; 4A_91/2010 du 29 juin 2010), sera allouée au recourant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