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A/3768/2023 vom 9. Juli 2024</w:t>
      </w:r>
    </w:p>
    <w:p>
      <w:r>
        <w:t>GE Cour de justice, 2024-07-09, FR</w:t>
      </w:r>
    </w:p>
    <w:p>
      <w:r>
        <w:rPr>
          <w:b/>
        </w:rPr>
        <w:t xml:space="preserve">Quelle: </w:t>
      </w:r>
      <w:r>
        <w:t>https://mcp.opencaselaw.ch/entscheid/ge_gerichte_A_3768_2023</w:t>
      </w:r>
    </w:p>
    <w:p>
      <w:r>
        <w:t>FR: GE_GERICHTE A/3768/2023 du 9 juillet 2024</w:t>
      </w:r>
    </w:p>
    <w:p>
      <w:r>
        <w:t>IT: GE_GERICHTE A/3768/2023 del 9 luglio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l'AI, à moins que la loi n'y déroge expressément.</w:t>
      </w:r>
    </w:p>
    <w:p>
      <w:r>
        <w:rPr>
          <w:b/>
        </w:rPr>
        <w:t>E. 1.3</w:t>
      </w:r>
    </w:p>
    <w:p>
      <w:r>
        <w:t>Interjeté dans la forme et le délai – de trente jours – prévus par la loi, le recours est recevable sous ces angles (art. 56 ss LPGA ainsi que 62 ss de la loi sur la procédure administrative du 12 septembre 1985 [LPA - E 5 10]).</w:t>
      </w:r>
    </w:p>
    <w:p>
      <w:r>
        <w:rPr>
          <w:b/>
        </w:rPr>
        <w:t>E. 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 et a fortiori à des mesures professionnelles – naîtrait au plus tôt en 2022, dès lors que la nouvelle demande de prestations a été déposée à fin novembre 2021 (cf. art.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 er janvier 2022). En revanche, en référence à la modification de l'art. 26bis al. 3 RAI du 18 octobre 2023 (déduction forfaitaire ; RO 2023 635) entrée en vigueur le 1 er janvier 2024, et compte tenu des principes généraux de droit intertemporel susmentionnés (cf. aussi Office fédéral des assurances sociales [OFAS], Circulaire sur l'invalidité et les rentes dans l'assurance-invalidité [CIRAI], état au 1 er janvier 2024, ch. 9201), le droit éventuel à une rente d'invalidité étant ici né antérieurement au 1 er janvier 2024 (cf. art. 29 al. 1 LAI), l'art. 26bis al. 3 RAI sera applicable dans sa teneur en vigueur jusqu'au 31 décembre 2023.</w:t>
      </w:r>
    </w:p>
    <w:p>
      <w:r>
        <w:rPr>
          <w:b/>
        </w:rPr>
        <w:t>E. 3.1</w:t>
      </w:r>
    </w:p>
    <w:p>
      <w:r>
        <w:t>L’art. 17 al. 1 LPGA dispose que si le taux d’invalidité du bénéficiaire de la rente subit une modification notable, la rente est, d’office ou sur demande, révisée pour l’avenir, à savoir augmentée ou réduite en conséquence, ou encore supprimée. Aux termes de l’art. 88 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 bis RAI est applicable par analogie (al. 2). Selon l’art. 29 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3.2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 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3.3</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En principe, il incombe à l’assureur de prouver une modification importante du degré d’invalidité lorsqu’il veut réduire ou supprimer une rente (arrêt du Tribunal fédéral 8C_481/2013 du 7 novembre 2013 consid. 3.1 non publié in : ATF 139 V 585 ). Si une modification des faits déterminante pour le droit aux prestations n’est pas établie au degré de la vraisemblance prépondérante, la situation juridique qui prévalait jusqu’alors est maintenue conformément au principe du fardeau matériel de la preuve (arrêt du Tribunal fédéral 8C_481/2013 du 7 novembre 2013 consid. 2.4 et les références ; pour un cas d’application : cf . notamment l’arrêt du Tribunal fédéral 9C_333/2015 du 17 juillet 2015 consid. 3.2).</w:t>
      </w:r>
    </w:p>
    <w:p>
      <w:r>
        <w:rPr>
          <w:b/>
        </w:rPr>
        <w:t>E. 4.1</w:t>
      </w:r>
    </w:p>
    <w:p>
      <w:r>
        <w:t>L'objet du présent litige porte sur le droit éventuel de la recourante à une rente d’invalidité, voire – en l’absence d’octroi d’une éventuelle rente entière – des mesures professionnelles, ce qui supposerait ici une aggravation sensible de son état de santé au moment du dépôt de sa nouvelle demande déposée le 26 novembre 2021 – ou dans les trois mois qui la précédaient ou la suivaient (cf. art. 88a RAI) –, le cas échéant jusqu’à la décision du 16 octobre 2023 querellée, par rapport à la situation existant à la date du prononcé de la décision du 2 octobre 2020 de rejet de la première demande AI. Il est à cet égard rappelé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4.2</w:t>
      </w:r>
    </w:p>
    <w:p>
      <w:r>
        <w:t>Par ailleurs,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414 consid. 1b et 2 et les références citées ; ATAS/742/2021 du 6 juillet 2021 consid. 4a). Dans le cas présent, la décision querellée ne traite aucunement la question d’un éventuel droit à une API, une telle allocation n’étant du reste évoquée par la recourante – via son avocat – que depuis le 15 février 2024, donc après le prononcé de ladite décision, sans qu’il soit clair si elle formule des conclusions formelles sur ce point devant la chambre de céans. Quoi qu’il en soit, l’intimé ne s’est pas prononcé par décision sur un éventuel droit à une API, la chambre des assurances sociales ne pouvant connaître de cette question que si une décision a au préalable été rendue à ce sujet (cf. notamment art. 56 LPGA), ce qui n’est pas le cas ici. Ainsi, d’éventuelles conclusions portant sur une API ne peuvent qu’être déclarées irrecevables.</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5.2</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5.3</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1bis dudit art. 28 LAI – en vigueur depuis le 1 er janvier 2022 – dispose qu'une rente au sens de l’al. 1 n’est pas octroyée tant que toutes les possibilités de réadaptation au sens de l’art. 8 al. 1bis et 1ter LAI n’ont pas été épuisées. Selon l'art. 28b LAI – entré en vigueur le 1 er janvier 2022 –,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 Pour un taux d'invalidité inférieur à 50 %, la quotité de la rente est la suivante : tableau, avec un taux d'invalidité d'au minimum 40 % donnant droit à une rente – la plus basse – de 25 %, jusqu'à un taux d'invalidité de 49 % donnant droit à une rente de 47,5 % (al. 4).</w:t>
      </w:r>
    </w:p>
    <w:p>
      <w:r>
        <w:rPr>
          <w:b/>
        </w:rPr>
        <w:t>E. 5.4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telle la classification internationale des maladies (ci-après : CIM) ou le DSM-IV (Diagnostic and Statistical Manual) (ATF 143 V 409 consid. 4.5.2 ; 141 V 281 consid. 2.1 et 2.1.1 ; 130 V 396 consid. 5.3 et 6).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5.4.1</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5.4.2</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5.5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5.5.1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5.5.2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6</w:t>
      </w:r>
    </w:p>
    <w:p>
      <w:r>
        <w:t>En l’espèce, du point de vue médical, il convient de relever et considérer ce qui suit.</w:t>
      </w:r>
    </w:p>
    <w:p>
      <w:r>
        <w:rPr>
          <w:b/>
        </w:rPr>
        <w:t>E. 6.1</w:t>
      </w:r>
    </w:p>
    <w:p>
      <w:r>
        <w:t>En procédure de recours, les allégations et griefs de la recourante, qu’ils émanent de son conseil ou de sa psychiatre traitante (la Dre E______), à l’encontre de la décision attaquée sont en substance ceux qui suivent. Au plan somatique, selon son avocat, qui se réfère à l’attestation du Dr J______, médecin généraliste traitant, du 25 septembre 2023, l’intéressée souffre aux deux épaules qui l’empêchent d’accomplir les actes de la vie quotidienne, notamment s’habiller ou se laver seule et assumer ses tâches ménagères. En outre, à la suite de l’accident survenu en avril 2018, elle a durablement perdu l’usage de son bras droit, alors qu’elle est droitière. Enfin, étant donné que l’épargne du bras droit est indispensable, elle a dû fortement solliciter ses épaule, bras et main gauche ; ce point a été signalé à l’office mais n’est pas pris en compte dans le rapport d’expertise du K______, l’équipe réadaptation professionnelle de l’intimé ayant relevé dans le document « mandat de réadaptation » du 31 août 2023 entre autres ce qui suit : « Nouvelle demande le 26.11.2021. Notre assurée signale une atteinte d’ordre psychique ainsi qu’une aggravation au niveau de l’épaule droite. […] Selon document [de l’hospice] du 21.07.2022, aucune activité de réinsertion n’est réalisée. Une atteinte au niveau de la main gauche est signalée. En date du 22.12.2022, le SMR sollicite une expertise rhumato psy ». Le conseil de la recourante déduit de ce qui précède « une impotence marquée et une rente d’invalidité complète », avec impossibilité de reprendre une activité « sur le marché libre du travail » (cf. acte du 14 novembre 2023, p. 1 ; complément de recours, 21 décembre 2023, p. 2 et 3). Dans sa dernière écriture, il ajoute, toujours avec référence au document « mandat de réadaptation » du 31 août 2023 précité : « S’agissant de son atteinte à la main gauche et à l’épaule gauche, il est évident qu’une décharge du bras et de la main droits sur le gauche ne peuvent, à terme, qu’entraîner une surcharge et une importante fatigue de ce dernier, atteinte qui a été dûment signalée à [l’office]. – Dans ces circonstances, il appartient à ]l’intimé] d’instruire ce point également, ce d’autant plus au vu de l’incapacité globale de la recourante d’accomplir les actes de la vie courante, comme écrire ou se laver les cheveux, s’habiller, se déshabiller toute seule » (cf. écriture du 15 février 2024). D’après la Dre E______, l’accident de 2018 a également d’importantes répercussions sur le plan psychiatrique, l’assurée étant actuellement suivie par ladite psychiatre traitante pour un trouble dépressif récurrent, cet état se caractérisant par « une humeur dépressive, de la tristesse récurrente, peu de plaisir, aucune projection sur l’avenir, un sommeil perturbé, de l’irritabilité et un manque de confiance en soi ». « Il est retenu un syndrome douloureux somatoforme persistant, [la patiente] se plaignant d’une douleur intense et persistante de son épaule droite, accompagnée d’un sentiment de détresse. » « Ainsi, [la Dre E______], Médecin conseil certifiée SSMC et Médecin Experte certifiée SIM, atteste d’une capacité actuelle de travail nulle dans toute activité. » « Pour les détails techniques et médicaux précis et spécifiques, [elle] se permet très respectueusement de renvoyer la Cour au rapport d’expertise du 16 mai 2023, établi par K______ […], document annexé au bordereau de pièces ci-joint » (cf. acte de recours du 15 novembre 2023, p. 2 et 3). Dans son écriture rédigée par elle-même et postée le 21 mars 2023, la recourante expose ce qui suit. Depuis son opération de l’épaule droite en 2018, elle n’a plus eu toutes les rotations de cette épaule. Elle n’a plus de force avec le bras droit, et elle a beaucoup de douleurs, alors que les infiltrations ne fonctionnent plus du tout et que les médicaments la soulagent sur le moment mais ne tiennent pas dans le temps. L’assurée ajoute : « Les douleurs sont là 24h/24h du matin au soir même en prenant les médicaments, le soir c’est la même histoire donc pour le repos et le sommeil je dois prendre aides et à force ceux-ci ne font plus d’effets. – Pour m’habiller je prends 30 à 40 minutes, je ne peux plus me laver les cheveux ainsi que toutes tâches ménagères, ce sont mes enfants qui le font pour tous les repas que ce soit midi ou le soir. Et ils ne seront malheureusement pas avec moi toutes leurs vies. – Malgré tout ça, je marche énormément car cela me permet de penser et de me vider la tête. Mais je suis à bout physiquement et psychologiquement de toute cette situation. – Tous ces points ont été dits plusieurs fois et annoncés à l’AI et répétés des centaines de fois par écrit des médecins et par téléphone et malgré ma situation invivable on me refuse toutes prestations de l’AI. On m’a envoyé au chômage et ensuite à l’hospice pour ne pas prendre en compte mon dossier ».</w:t>
      </w:r>
    </w:p>
    <w:p>
      <w:r>
        <w:rPr>
          <w:b/>
        </w:rPr>
        <w:t>E. 6.2</w:t>
      </w:r>
    </w:p>
    <w:p>
      <w:r>
        <w:t>Cela étant, le rapport d'expertise des Dres L______ et M______, établi le 16 mai 2023 et complété le 6 juillet 2023, répond, sur le plan formel, aux exigences posées par la jurisprudence pour qu'on puisse lui accorder une pleine valeur probante. En effet, cette expertise bidisciplinaire a été conduite par des médecins spécialisées dans les deux domaines concernés – rhumatologie et psychiatrie –, en vue d'établir une synthèse des différentes pathologies de l'expertisée, sur la base d'observations approfondies et d'investigations complètes, ainsi qu'en pleine connaissance du dossier. Les expertes ont personnellement examiné la recourante préalablement à l'établissement de leur rapport d'expertise, et elles ont consigné les renseignements anamnestiques pertinents, recueilli les plaintes de l'assurée et résumé leurs propres constatations. Elles ont en outre énoncé les diagnostics retenus et répondu à toutes les questions posées. Il sied de préciser ici que, comme relevé le 17 juillet 2023 par le SMR, seul le diagnostic de « tendinopathie de la coiffe des rotateurs à droite avec status post arthroscopie en novembre 2018, dans les suites d’un traumatisme du membre supérieur droit du 9 avril 2018 avec fracture non déplacée de l’extrémité distale de la clavicule et tendinopathie fissuraire du sus-épineux (M751) », a une répercussion sur la capacité de travail, sous forme de limitations fonctionnelles et de baisse de rendement. Enfin, les conclusions des expertes sont claires et bien motivées.</w:t>
      </w:r>
    </w:p>
    <w:p>
      <w:r>
        <w:rPr>
          <w:b/>
        </w:rPr>
        <w:t>E. 6.3</w:t>
      </w:r>
    </w:p>
    <w:p>
      <w:r>
        <w:t>Aucun indice concret ne permet de douter du bien-fondé de ce rapport d’expertise et de ses conclusions, pour les motifs qui suivent.</w:t>
      </w:r>
    </w:p>
    <w:p>
      <w:r>
        <w:rPr>
          <w:b/>
        </w:rPr>
        <w:t>E. 6.3.1</w:t>
      </w:r>
    </w:p>
    <w:p>
      <w:r>
        <w:t>Au plan somatique, après l’établissement dudit rapport d’expertise, la recourante n’a présenté aucun avis médical contestant les appréciations et conclusions des expertes. En outre, l’indication du Dr J______ du 25 septembre 2023, confirmée le 21 mars 2024 par l’intéressée, qu’elle a des douleurs, y compris durant la nuit, et n’arrive pas à s’habiller, à laver ses cheveux, ne peut pas accomplir ses tâches ménagères ni ne peut lever des poids de plus de 100 g n’est pas incompatible avec le rapport d’expertise. En effet, à teneur de ce dernier, « les douleurs de l’épaule droite en lien avec la fracture distale non déplacée de la clavicule et la tendinopathie fissuraire de coiffe, opérée par arthroscopie avec bursectomie et résection acromiocalviculaire », justifient les « limitations fonctionnelles rhumatologiques » consistant en une « absence de sollicitations du membre supérieur droit, absence de manutention, travaux d’écriture, pas d’usage d’outils vibrants et aucun port de charges à droite, adaptation de l’ergonomie du poste de travail » (p. 5 et 15). Ces limitations fonctionnelles importantes sont de nature à gêner dans une mesure importante l’assurée dans ses tâches ménagères comme dans un emploi avec des tâches physiques. Du reste, selon le volet rhumatologique dudit rapport d’expertise, l’expertisée « présente actuellement une impotence fonctionnelle complète avec éviction du membre supérieur droit dans le suite d’un traumatisme direct du 9 avril 2018 avec fracture non déplacée de la clavicule et tendinopathie fissuraire du sus-épineux ayant justifié une prise en charge bien conduite médicale » mais sans succès complets (p. 14-15.). Toujours d’après le volet rhumatologique du rapport d’expertise, l’assurée « est autonome pour ses soins d’hygiène corporelle, mais doit solliciter de l’aide pour se laver les cheveux ou le faire à genoux devant la baignoire, elle décrit également des difficultés et la nécessité d’une adaptation pour se rendre aux toilettes, s’habiller et se déshabiller, puisqu’elle utilise exclusivement le membre supérieur gauche » (p. 9) ; concernant les tâches ménagères, ce sont ses deux fils – majeur – « qui réalisent la cuisine », la recourante ne faisant que réchauffer des plats déjà préparés, et ce sont aussi ses fils « qui effectuent l’ensemble des travaux ménagers de poussière, entretien des sols avec aspirateur et serpillère, nettoyage des sanitaires et de l’électroménager et elle pleure en évoquant cette situation », l’expertisée utilisant en outre son bras gauche pour dresser et débarrasser le couvert, remplir et vider le lave-vaisselle et le lave-linge ainsi que faire des courses pour de petits volumes (p. 9-10). Vu cette description non contestée des tâches ménagères et, surtout, le statut d’active à 100 % de l’assurée et le fait que ses revenus sans et avec invalidité sont comparés uniquement en lien avec une activité professionnelle, une enquête ménagère ne serait d’aucune utilité. Pour le reste, contrairement à ce qu’évoque le conseil de la recourante sans aucun approfondissement, aucun élément du dossier ne permet de retenir qu’elle présenterait une atteinte au bras gauche. De surcroît, l’experte rhumatologue a, dans le cadre de son examen clinique, examiné non seulement le bras droit mais aussi le gauche, en particulier les « épaules » et les « poignets/mains » (p. 12). Il est néanmoins possible que, pour remplacer dans une certaine mesure l’usage du bras droit, ce membre supérieur gauche soit sollicité de manière non négligeable avec un risque de surcharge si la sollicitation est trop importante, ce qui peut d’ailleurs expliquer notamment la limitation fonctionnelle consistant en l’absence de manutention retenue par les expertes. Enfin, aucun élément factuel, en particulier médical, ne remet en cause la constatation et appréciation de l’experte rhumatologue sous le « status neurologique » (« testing moteur normal au membre supérieur gauche et aux deux membres inférieurs, mais non réalisable au membre supérieur droit [ni au bras, avant-bras ou à la main], du fait d’une anxiété anticipatoire de l’expertisée, avec une sous-utilisation complète du membre supérieur droit sans lien avec la pathologie uniquement proximale d’épaule droite »), ni son appréciation suivante concernant l’« évaluation de la cohérence et de la plausibilité » : « La cohérence n’est pas conservée entre les données anamnestiques, les plaintes de l’expertisée, les constatations à l’examen clinique et les résultats des examens complémentaires, puisqu’il est bien attesté une fracture non déplacée de l’extrémité distale de la clavicule post-traumatique avec une atteinte fissuraire transfixiante du sus-épineux, mais ne justifiant pas une éviction totale de l’usage du membre supérieur droit dans l’ensemble de ses activités. – Cependant, les limitations fonctionnelles sont uniformes dans tous les domaines de la vie puisqu’elle n’a pas repris d’activité professionnelle depuis le traumatisme du 9 avril 2018 mais a exclu totalement son membre supérieur droit chez une expertisée droitière dans l’ensemble de ses activités quotidiennes, n’a plus d’activité de loisirs en-dehors de la marche et a restreint l’ensemble de ses activités ménagères, ainsi que ses soins personnels » (p. 4 et 14).</w:t>
      </w:r>
    </w:p>
    <w:p>
      <w:r>
        <w:rPr>
          <w:b/>
        </w:rPr>
        <w:t>E. 6.3.2</w:t>
      </w:r>
    </w:p>
    <w:p>
      <w:r>
        <w:t>Au plan psychiatrique, la Dre E______, psychiatre traitante, ne conteste clairement aucun point contenu dans le rapport d’expertise, mais fait uniquement part d’une appréciation différente de celle des expertes en faisant valoir un caractère incapacitant du syndrome douloureux somatoforme persistant ainsi que l’existence d’un trouble dépressif récurrent. À teneur du complément d’expertise du 6 juillet 2023 – qui confirme sur ce point le rapport d’expertise initial (p. 24) –, le fait que le syndrome douloureux somatoforme persistant (F45.4) n’a pas d’impact sur la capacité de travail de l’expertisée s’explique notamment par le fait que le contexte émotionnel et de problèmes psychosociaux est suffisamment important pour être considéré par un clinicien comme la cause essentielle du trouble, de même que par le fait que l’assurée n’est ni déprimée ni délirante et présente seulement une anxiété très modérée, et ne rapporte pas de douleurs qui ralentiraient son fonctionnement psychique mais plutôt des douleurs à l’utilisation de son membre supérieur ; ses douleurs sont donc plutôt d’ordre fonctionnel physique mais pas psychique, et elles ne sont pas uniformes « dans toutes les activités de la vie journalières ». Ces explications circonstanciées et convaincantes ne sont pas clairement remises en cause par la psychiatre traitante, qui renvoie en outre au rapport d’expertise « pour les détails techniques et médicaux précis et spécifiques ». Par ailleurs, l’experte psychiatre précise ne pas retenir un épisode dépressif léger (F32.0). En effet, selon elle, l’expertisée n’a pas de tristesse de l’humeur marquée, ni d’anhédonie (puisqu’elle éprouve du plaisir à voir sa petite-fille, à discuter avec ses fils ou à sortir faire sa promenade et également rencontrer le chien de son frère) ; elle a cependant un certain degré d’aboulie ; elle n’a pas de diminution de la concentration ou de l’attention, ni d’idée suicidaire ou de culpabilité ; son appétit est conservé, mais son sommeil est perturbé et elle présente une diminution de l’estime de soi et une attitude morose face à l’avenir (p. 24). En faisant état, dans son acte de recours, d’un trouble dépressif récurrent, cet état se caractérisant par « une humeur dépressive, de la tristesse récurrente, peu de plaisir, aucune projection sur l’avenir, un sommeil perturbé, de l’irritabilité et un manque de confiance en soi », la Dre E______ ne fait que présenter une constatation et une appréciation légèrement différentes de celles de l’experte psychiatre, la différence portant essentiellement sur l’ampleur de l’humeur dépressive et la tristesse récurrente, qui ne sont pas décrites précisément et concrètement par la psychiatre traitante, laquelle n’explique pas en quoi l’appréciation de l’experte M______ serait selon elle erronée. Au demeurant, la psychiatre traitante n’atteste en tout état de cause aucun trouble psychique grave de nature à justifier une incapacité de travail, selon la jurisprudence du Tribunal fédéral. Pour le surplus, comme indiqué dans le rapport d’expertise, l’assurée a des ressources internes (« connaissances en termes de vente ou de nettoyage ») et externes bien qu’assez restreintes (« aide apportée par ses fils et son frère », une seule amie, et « très peu d’activités de loisirs ou de vie sociale » ; p. 15 et 25). De surcroît, comme indiqué dans le rapport d’expertise (sous « ICF selon LINDEN/BARRON »), l’assurée n’a, notamment, « pas de difficulté à s’adapter aux règles de routine ni à planifier et à structurer des tâches », ou « à prendre des décisions bien qu’elle le fasse plus lentement qu’auparavant » (p. 24). Certes, selon la Dre E______ dans son rapport du 14 juin 2023 : « [La patiente] a beaucoup de peine à s’adapter aux règles de routine. Elle doit aménager du temps et de l’espace pour pouvoir y arriver et par ailleurs parfois elle y arrive, par d’autres non, tellement les douleurs sont importantes. – Toutes les décisions sont mûrement réfléchies avant de les prendre, pour la simple et unique raison que les ressources de son entourage sont précieuses pour arriver à exécuter ou planifier une tâche ». Ce faisant, la psychiatre traitante ne conteste pas entièrement les constatations et appréciation de l’experte psychiatre sur ce point, et ses propres appréciations n’apparaissent pas de nature à exclure l’exercice à 80 % d’une activité professionnelle.</w:t>
      </w:r>
    </w:p>
    <w:p>
      <w:r>
        <w:rPr>
          <w:b/>
        </w:rPr>
        <w:t>E. 6.4</w:t>
      </w:r>
    </w:p>
    <w:p>
      <w:r>
        <w:t>En définitive, rien ne permet de s’écarter des conclusions des expertes selon lesquelles, du point de vue rhumatologique et en consensus entre elles, la capacité de travail de l’intéressée est nulle depuis le 9 avril 2018 dans l’activité habituelle de nettoyeuse, mais, dans une activité adaptée respectant les limitations fonctionnelles consistant en une « absence de sollicitations du membre supérieur droit, absence de manutention, travaux d’écriture, pas d’usage d’outils vibrants et aucun port de charges à droite, adaptation de l’ergonomie du poste de travail », la capacité de travail est de 100 %, mais avec une perte de rendement de 20 % en lien avec l’intensité des douleurs et la lenteur d’exécution chez une expertisée droitière qui doit utiliser préférentiellement le membre supérieur gauche dans une activité adaptée. Ainsi, la capacité de travail s’élève à 80 % dans une activité adaptée à partir de l’aggravation de l’état de santé qui a été fixée au 19 juillet 2021 par les expertes et le SMR de manière convaincante, très probablement en référence à un rapport faisant suite à une IRM de l’épaule droite établi le 21 juillet 2021 par la docteure O______, radiologue (cf. rapport d’expertise, p. 35).</w:t>
      </w:r>
    </w:p>
    <w:p>
      <w:r>
        <w:rPr>
          <w:b/>
        </w:rPr>
        <w:t>E. 7.1</w:t>
      </w:r>
    </w:p>
    <w:p>
      <w:r>
        <w:t>Chez les assurés actifs – comme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7.2</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7.3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134 V 322 consid. 5.2 et les références ;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Selon la jurisprudence, lorsqu'une personne assurée est capable de travailler à plein temps mais avec une diminution de rendement, celle-ci est prise en considération dans la fixation de la capacité de travail. Il n'y a pas lieu, en sus, d'effectuer un abattement à ce titre (arrêt du Tribunal fédéral 9C_780/2023 du 23 avril 2024 consid. 6 et les références).</w:t>
      </w:r>
    </w:p>
    <w:p>
      <w:r>
        <w:rPr>
          <w:b/>
        </w:rPr>
        <w:t>E. 8.1</w:t>
      </w:r>
    </w:p>
    <w:p>
      <w:r>
        <w:t>En l’occurrence, dans sa « détermination du degré d’invalide » du 31 août 2023 et sa décision attaquée, l’OAI parvient à un degré d’invalidité de 9,37 %, résultant de la comparaison – ou différence –, pour 2022 – année de naissance d’un éventuel droit à une rente –, entre le « revenu sans invalidité pour un plein temps » de CHF 47’862.- et le « revenu annuel brut avec invalidité » de CHF 43’377.- sur la base de l’ESS 2020 (tableau « TA1_tirage_skill_level », pour les femmes sous « total », donc « tous domaines confondus », niveau de compétence 1, à savoir « tâches physiques ou manuelles simples », salaire mensuel brut [pour 40 heures par semaines] de CHF 4’276.-, ajusté en fonction de la moyenne des heures travaillées en Suisse [41,7 heures], pour le niveau de compétence 1 [tâches physiques et manuelles simples], c'est-à-dire CHF 4’457.-, puis annualisé (x 12) à CHF 53’488.- et indexé selon l'indice suisse des salaires [ISS], soit CHF 54'222.- réduit de 20 %). Rien ne permet de remettre en doute cette comparaison des revenus sans et avec invalidité, que la recourante ne conteste du reste pas.</w:t>
      </w:r>
    </w:p>
    <w:p>
      <w:r>
        <w:rPr>
          <w:b/>
        </w:rPr>
        <w:t>E. 8.2</w:t>
      </w:r>
    </w:p>
    <w:p>
      <w:r>
        <w:t>S’agissant de la question du caractère réaliste ou non des possibilités de travail concrètes de l’intéressée compte tenu de sa capacité de travail résiduelle, l’équipe réadaptation professionnelle de l’OAI indique à la fin du document « mandat de réadaptation » du 31 août 2023 : « (…), au vu du large éventail d’activités simples et répétitives que recouvre le marché du travail en général – et le marché du travail équilibré en particulier – on doit admettre qu’un nombre significatif d’entre elles, ne nécessitant aucune formation spécifique, sont adaptées au [limitations fonctionnelles] de notre assurée. À titre d’exemples, on peut citer les tâches simples de surveillance, de vérification, de contrôle, ou encore des activités d’accueil ». D’après le conseil de l’assurée, toute reprise d’une activité professionnelle sur le marché libre du travail est totalement illusoire. Toujours selon lui, concernant les exemples d’activités cités par l’intimé, dans la mesure où les activités à temps plein ou même partiel sur le marché ordinaire du travail requièrent polyvalence et flexibilité, des activités uniquement de réception ou de surveillance ne sont notoirement pas ouvertes à des personnes invalides ; sauf exceptions rarissimes, toutes les activités de surveillance nécessitent une condition physique au moins dans la norme ; l’avocat voit mal quelle activité de vérification pourrait être envisagée pour la recourante « alors qu’elle ne peut même pas écrire » ; les activités de contrôle de marchandises lui sont quant à elles doublement fermées, vu son absence de formation (comme magasinière, logisticienne, douanière, etc.) et son incapacité physique manifeste. Cela étant, on ne voit pas en quoi des tâches simples d’accueil, de vérification/contrôle ou de surveillance, sans nécessité de formation préalable, n’existeraient pas sur le marché du travail ou seraient exclues pour l’intéressée, qui peut marcher sans restriction. En outre, si les activités de nettoyeuse et de caissière ne sont pas adaptées à sa pathologie rhumatologique selon le rapport d’expertise (p. 15), on ne voit pas pourquoi, par exemple, une activité de vendeuse pour des objets légers pouvant être pris avec la main gauche et sans tâches à la caisse ne pourrait pas être exercée à 80 % par l’assurée, laquelle a du reste, selon son curriculum vitae (CV), entre 1980 et 1990, effectué un « apprentissage d’employée de magasin en alimentation » auprès d’une chaîne de supermarchés « avec obtention du certificat cantonal de capacité ». Au demeurant, contrairement à ce qu’allègue son conseil, la recourante apparaît pouvoir écrire, surtout dans sa langue maternelle et avec des difficultés en français (cf. rapport d’expertise, p. 15). La mention « travaux d’écriture » comme limitation fonctionnelle selon le rapport d’expertise, alors que pour les empêchements sont utilisé des termes comme « absence », « pas » ou « aucun », n’apparaît pas devoir être comprise comme une exclusion complète de l’écriture. Il convient donc de conclure que le marché du travail offre à la recourante un éventail suffisamment large d'activités légères.</w:t>
      </w:r>
    </w:p>
    <w:p>
      <w:r>
        <w:rPr>
          <w:b/>
        </w:rPr>
        <w:t>E. 8.3</w:t>
      </w:r>
    </w:p>
    <w:p>
      <w:r>
        <w:t>La diminution de rendement de 20 % apparaissant, selon le rapport d’expertise, liée aux limitations fonctionnelles, il n’y a pas lieu de procéder à un abattement en raison de celles-ci, et, pour le reste, il n’y a pas d’autres circonstances particulières susceptibles de justifier un abattement.</w:t>
      </w:r>
    </w:p>
    <w:p>
      <w:r>
        <w:rPr>
          <w:b/>
        </w:rPr>
        <w:t>E. 8.4</w:t>
      </w:r>
    </w:p>
    <w:p>
      <w:r>
        <w:t>En conséquence, le degré d’invalidité est correctement fixé à 9,37 % par l’office, de sorte que, le taux minimal de 40 % pour le droit à une rente n’étant pas atteint, un tel droit est nié à juste titre par l’intimé.</w:t>
      </w:r>
    </w:p>
    <w:p>
      <w:r>
        <w:rPr>
          <w:b/>
        </w:rPr>
        <w:t>E. 9</w:t>
      </w:r>
    </w:p>
    <w:p>
      <w:r>
        <w:t>À titre subsidiaire, la recourante conclut à l’octroi de mesures professionnelles.</w:t>
      </w:r>
    </w:p>
    <w:p>
      <w:r>
        <w:rPr>
          <w:b/>
        </w:rPr>
        <w:t>E. 9.1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Se pose en premier lieu la question de savoir si l'assuré est invalide ou menacé d'une invalidité permanente (cf. art. 28 al. 1 LAI). On rappellera qu'il n'existe pas un droit inconditionnel à obtenir une mesure professionnelle (voir par ex. l'arrêt du Tribunal fédéral 9C_385/2009 du 13 octobre 2009). Il faut également relever que si une perte de gain de 20 % environ ouvre en principe droit à une mesure de reclassement dans une nouvelle profession (ATF 139 V 399 consid. 5.3 ; arrêt du Tribunal fédéral 9C_500/2020 du 1 er mars 2021 consid. 2 et les références), la question reste ouverte s'agissant des autres mesures d'ordre professionnel prévues par la loi (cf. arrêt du Tribunal fédéral 9C_464/2009 du 31 mai 2010).</w:t>
      </w:r>
    </w:p>
    <w:p>
      <w:r>
        <w:rPr>
          <w:b/>
        </w:rPr>
        <w:t>E. 9.2</w:t>
      </w:r>
    </w:p>
    <w:p>
      <w:r>
        <w:t>En vertu de l'art. 15 LAI – dans sa version en vigueur dès le 1 er janvier 2022 –,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L'art. 4a RAI – également en vigueur à compter du 1 er janvier 2022 – précise en quoi peut consister l'orientation professionnelle. Les objectifs de cette mesure sont que grâce au soutien qui leur est offert à travers l'orientation professionnelle, les personnes assurées identifient des formations qui correspondent à leur âge, leur niveau de développement, leurs aptitudes et leurs intérêts, et qu'elles sont en mesure de suivre. Sont concernées les personnes assurées sur le point de suivre une formation professionnelle ou limitées dans le choix professionnel en raison de leur invalidité et ayant par conséquent besoin d'une orientation professionnelle spécialisée (OFAS, Circulaire sur les mesures de réadaptation professionnelle de l'AI [CMRPr], valable dès le 1 er janvier 2022, ch. 10.1).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rPr>
          <w:b/>
        </w:rPr>
        <w:t>E. 9.3</w:t>
      </w:r>
    </w:p>
    <w:p>
      <w:r>
        <w:t>Conformément à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À teneur de l'art. 6 al. 1 RAI,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(al. 1). Sont également considérées comme un reclassement les mesures de formation aboutissant à une formation plus qualifiante que celle dont dispose l'assuré, à condition qu'elles soient nécessaires pour maintenir ou améliorer sa capacité de gain (al. 1bis).</w:t>
      </w:r>
    </w:p>
    <w:p>
      <w:r>
        <w:rPr>
          <w:b/>
        </w:rPr>
        <w:t>E. 9.4</w:t>
      </w:r>
    </w:p>
    <w:p>
      <w:r>
        <w:t>Aux termes de l'art. 18 al. 1 LAI (mesure d'aide au placement) – dans sa version en vigueur dès le 1 er janvier 2022 –, l'assuré en incapacité de travail (art. 6 LPGA) et susceptible d'être réadapté a droit à un soutien pour rechercher un emploi approprié ou, s'il en a déjà un, pour le conserver.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des assurances I 421/01 du 15 juillet 2002 consid. 2c in VSI 2003 p. 274 ;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(arrêts du Tribunal fédéral 9C_416/2009 du 1 er mars 2010 consid. 5.2 ; I 427/05 du 24 mars 2006, in SVR 2006 IV Nr. 45 p. 162).</w:t>
      </w:r>
    </w:p>
    <w:p>
      <w:r>
        <w:rPr>
          <w:b/>
        </w:rPr>
        <w:t>E. 10</w:t>
      </w:r>
    </w:p>
    <w:p>
      <w:r>
        <w:t>En l’espèce, en l'absence d'une perte de gain d'au moins 20 % environ, une mesure de reclassement dans une nouvelle profession (art. 17 LAI) ne peut pas entrer en considération. Concernant une éventuelle orientation professionnelle (art. 15 LAI), on ne peut pas retenir qu'au regard de l'existence d’un nombre suffisant d’emplois compatibles avec les limitations fonctionnelles de l’intéressée, ces limitations l’empêcheraient de choisir une profession adaptée ou rendraient difficile un tel choix, et on ne peut pas retenir non plus que ses propres connaissances sur les aptitudes exigées et les possibilités disponibles ne seraient pas suffisantes pour choisir une profession adaptée. Pour un motif similaire (nombreux emplois compatibles avec les limitations fonctionnelles), et faute d'être entravée de manière spécifique par l'atteinte à la santé dans la faculté de rechercher un emploi, la recourante ne saurait non plus se voir octroyer une mesure d'aide au placement (art. 18 LAI). En définitive, l'assurée n'a pas droit à des mesures professionnelles.</w:t>
      </w:r>
    </w:p>
    <w:p>
      <w:r>
        <w:rPr>
          <w:b/>
        </w:rPr>
        <w:t>E. 11</w:t>
      </w:r>
    </w:p>
    <w:p>
      <w:r>
        <w:t>Vu ce qui précède, malgré les souffrances et difficultés indéniables de la recourante ainsi que ses limitations fonctionnelles importantes, la décision querellée est conforme au droit, et le recours sera rejeté dans la mesure où il est recevable.</w:t>
      </w:r>
    </w:p>
    <w:p>
      <w:r>
        <w:rPr>
          <w:b/>
        </w:rPr>
        <w:t>E. 12</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