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A/3763/2024 vom 15. Mai 2025</w:t>
      </w:r>
    </w:p>
    <w:p>
      <w:r>
        <w:t>GE Cour de justice, 2025-05-15, FR</w:t>
      </w:r>
    </w:p>
    <w:p>
      <w:r>
        <w:rPr>
          <w:b/>
        </w:rPr>
        <w:t xml:space="preserve">Quelle: </w:t>
      </w:r>
      <w:r>
        <w:t>https://mcp.opencaselaw.ch/entscheid/ge_gerichte_A_3763_2024</w:t>
      </w:r>
    </w:p>
    <w:p>
      <w:r>
        <w:t>FR: GE_GERICHTE A/3763/2024 du 15 mai 2025</w:t>
      </w:r>
    </w:p>
    <w:p>
      <w:r>
        <w:t>IT: GE_GERICHTE A/3763/2024 del 15 maggio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litige porte sur la responsabilité du recourant dans le préjudice causé à l’intimée, par le défaut de paiement des cotisations sociales, depuis le mois d’août 2018 jusqu’au mois de juin 2019.</w:t>
      </w:r>
    </w:p>
    <w:p>
      <w:r>
        <w:rPr>
          <w:b/>
        </w:rPr>
        <w:t>E. 3</w:t>
      </w:r>
    </w:p>
    <w:p>
      <w:r>
        <w:t>En premier lieu, il convient d’examiner si la prétention de la caisse est prescrite.</w:t>
      </w:r>
    </w:p>
    <w:p>
      <w:r>
        <w:rPr>
          <w:b/>
        </w:rPr>
        <w:t>E. 3.1</w:t>
      </w:r>
    </w:p>
    <w:p>
      <w:r>
        <w:t>Le 1 er janvier 2020 est entrée en vigueur la révision du droit de la prescription de la loi fédérale complétant le Code civil suisse du 30 mars 1911 (CO, Code des obligations - RS 220), entraînant la modification de l’art. 52 al. 3 LAVS (RO 2018 5343 ; FF 2014 221). Cet alinéa prévoit désormais que l’action en réparation du dommage se prescrit conformément aux dispositions du CO sur les actes illicites. Selon l’art. 60 al. 1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(NDR : le délai absolu)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 L’art. 49 Titre final du Code civil suisse du 10 décembre 1907 (CC - RS 210) règle de manière générale les questions de droit transitoire en matière de prescription et a été réécrit lors de la révision du droit de la prescription (Message précité, FF 2014 221, 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 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w:t>
      </w:r>
    </w:p>
    <w:p>
      <w:r>
        <w:rPr>
          <w:b/>
        </w:rPr>
        <w:t>E. 3.2</w:t>
      </w:r>
    </w:p>
    <w:p>
      <w:r>
        <w:t>Il résulte de la jurisprudence rendue à propos de l’art. 52 al. 3 aLAVS, les éléments qui suivent. En cas de faillite, le dommage se produit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Le dommage survient également lors de la délivrance d’un acte de défaut de biens (Office fédéral des assurances sociales [ci-après : OFAS], Directives sur la perception des cotisations dans l’AVS, AI et APG [ci-après : DP], état au 1 er janvier 2024,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 créance en dommages-intérêts est invoquée de manière appropriée à l’encontre du débiteur (arrêts du Tribunal fédéral 9C_641/2020 du 30 mars 2021 consid. 5.3 et la référence ; 9C_400/2020 du 19 octobre 2020 consid. 3.2.1 et la référence). Tant la décision que l’opposition interrompent les délais de prescription (ATF 135 V 74 consid. 4.2.2).</w:t>
      </w:r>
    </w:p>
    <w:p>
      <w:r>
        <w:rPr>
          <w:b/>
        </w:rPr>
        <w:t>E. 3.3</w:t>
      </w:r>
    </w:p>
    <w:p>
      <w:r>
        <w:t>En l'espèce, le moment de la faillite, soit le 8 juillet 2019, est réputé être le moment où le dommage de la caisse est survenu et fixe le point de départ du délai de péremption absolu. S’agissant du moment de la connaissance du dommage par l'intimée, il est survenu, selon les déterminations de l’intimée, en date du 5 février 2021, date à laquelle l’état de collocation a été déposé. En application du droit transitoire,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Dans le cas d’espèce, le dommage est survenu au moment de la faillite, le 8 juillet 2019, mais aucune prescription relative ou absolue n’était acquise lors de l’entrée en vigueur du nouveau droit de la prescription, le 1 er janvier 2020. Suite à l’entrée en vigueur du nouveau droit, le délai de prescription absolue est passé de cinq à dix ans mais son point de départ n’a pas changé et reste fixé au 8 juillet 2019, jour de la survenance du dommage. S’agissant du moment de la connaissance du dommage, il est fixé, selon les parties, au 5 février 2021, à la date du dépôt de l’état de collocation, soit après l’entrée en vigueur du nouveau droit de la prescription le 1 er janvier 2020. Le point de départ de la prescription relative est fixé au 5 février 2021, soit postérieurement à l’entrée en vigueur du nouveau droit de la prescription, ce qui entraîne l’application d’un délai de prescription relatif de trois ans, dès le 5 février 2021. Partant, la décision de réparation du dommage de l’intimée, datée du 1 er novembre 2023, n’est pas prescrite, contrairement à ce que soutient le recourant. Par la suite, lesdits délais de prescription ont été interrompus et de nouveaux délais, de même durée, ont commencé à courir, après l’opposition du recourant, après la décision sur opposition et après le dépôt du recours, de sorte qu’à ce jour, la prescription n’est pas acquise. L'action en réparation du dommage n'étant pas prescrite, il convient à présent d’examiner si les conditions de la responsabilité de l’art. 52 LAVS sont réalisées.</w:t>
      </w:r>
    </w:p>
    <w:p>
      <w:r>
        <w:rPr>
          <w:b/>
        </w:rPr>
        <w:t>E. 4</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4.1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4.2</w:t>
      </w:r>
    </w:p>
    <w:p>
      <w:r>
        <w:t>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H 252/01 du 14 mai 2002 consid. 3b et d, in VSI 2002 p. 176 ; arrêt du Tribunal fédéral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w:t>
      </w:r>
    </w:p>
    <w:p>
      <w:r>
        <w:rPr>
          <w:b/>
        </w:rPr>
        <w:t>E. 4.3</w:t>
      </w:r>
    </w:p>
    <w:p>
      <w:r>
        <w:t>En l’espèce, le recourant a été inscrit au RC, jusqu’à la faillite de la société, en qualité d’associé gérant de la société avec signature individuelle. Dès lors, il remplissait la qualité d’organe formel de la société pendant la période où les cotisations sociales n’étaient pas payées à l’intimée et doit donc répondre du dommage si les autres conditions de l’art. 52 LAVS sont remplies.</w:t>
      </w:r>
    </w:p>
    <w:p>
      <w:r>
        <w:rPr>
          <w:b/>
        </w:rPr>
        <w:t>E. 5</w:t>
      </w:r>
    </w:p>
    <w:p>
      <w:r>
        <w:t>Il convient maintenant de déterminer si le recourant a commis une faute qualifiée ou une négligence grave et est tenu à la réparation du dommage, au sens de l’art. 52 al. 1 LAVS.</w:t>
      </w:r>
    </w:p>
    <w:p>
      <w:r>
        <w:rPr>
          <w:b/>
        </w:rPr>
        <w:t>E. 5.1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w:t>
      </w:r>
    </w:p>
    <w:p>
      <w:r>
        <w:rPr>
          <w:b/>
        </w:rPr>
        <w:t>E. 5.2</w:t>
      </w:r>
    </w:p>
    <w:p>
      <w:r>
        <w:t>En l’espèce, le recourant allègue qu’en sa qualité de gérant, il s’est acquitté des cotisations sociales des employés lorsque ces tâches lui incombaient et qu’il a, par la suite, exprimé sa volonté de quitter la société et d’être radié du RC. L’associé gérant président, D______, l’en aurait dissuadé et aurait insisté pour que le recourant restât inscrit en tant que gérant, dès lors qu’il était le seul titulaire de la patente permettant d’exploiter les deux établissements de la société. Cet argument ne lui est d’aucun secours dans la mesure où, quelles qu’en soient les raisons, le recourant est resté associé gérant de la société et n’a pas demandé sa radiation auprès du RC, ce qu’il aurait pu faire seul, dès lors qu’il bénéficiait d’une signature individuelle. Il invoque que, suite à l’engagement du directeur C______, il appartenait à ce dernier de s’assurer du paiement des cotisations sociales, le recourant prétendant qu’après l’arrivée du directeur, il n’avait aucun pouvoir sur les décisions financières concernant la société et n’avait plus le pouvoir d’influer sur l’aspect financier de l’entreprise, car il n’exerçait plus aucune influence sur la marche des affaires de la société. Or, selon les statuts de la société, les gérants ont notamment les attributions inaliénables et intransmissibles suivantes (art. 24) : exercer la haute direction de la société et établir les instructions nécessaires (ch. 1) ; exercer la surveillance sur les personnes chargées de parties de la gestion pour s’assurer notamment qu’elles observent la loi, les statuts, les règlements et les instructions données (ch. 4). Chargé d’exercer la haute direction de la société, le recourant ne pouvait ni aliéner cette tâche, ni la transmettre au directeur, sur lequel il devait exercer la surveillance prévue par les statuts. Partant, son argumentation selon laquelle il avait été exclu de la gestion financière de la société par son associé et/ou par le nouveau directeur qui avait la mainmise sur tous les aspects financiers de la société, ne peut être suivie. Le contrat de travail du directeur, avec une prise d’emploi prévue au 1 er avril 2018, précise à son art. 2.02 que le directeur exerce, « par délégation, tout ou partie des pouvoirs de l’employeur, sauf ceux que la loi interdit de déléguer », ce qui renvoie à la responsabilité inaliénable du recourant, telle qu’elle a été examinée supra . Dans un extrait de message WhatsApp daté du 24 juin 2019, figurant en pièce 12 du chargé du recourant, il apparaît que ce dernier répond au directeur, qui se plaint de ne pas avoir reçu son salaire, qu’il n’a aucun contrôle sur l’argent et que son statut de gérant « est resté au RC uniquement à cause de la patente », ajoutant à l’attention du directeur que si son salaire n’est pas payé par D______, il lui conseille de s’adresser aux Prud’hommes. Or, si une personne se déclare prête à assumer ou à conserver un mandat d'administrateur, tout en sachant qu'elle ne pourra pas le remplir consciencieusement, elle viole son obligation de diligence (ATF 122 III 195 consid. 3b). Ainsi, un administrateur, dont la situation est, à cet égard, proche de celle de l’homme de paille, ne peut s'exonérer de ses responsabilités légales en invoquant son rôle passif au sein de la société (arrêt du Tribunal fédéral 9C_289/2009 du 19 mai 2010 consid. 6.2). Au regard de cette jurisprudence, le recourant ne peut invoquer ni son rôle passif, ni son absence de surveillance des activités de la société pour s’exonérer de ses responsabilités de gérant. Le message produit par le recourant ne fait que confirmer la passivité de ce dernier et son rôle d’homme de paille dans la société, alors qu’en tant qu’organe formel, il lui incombait de veiller personnellement au paiement des cotisations paritaires sur les salaires versés et ceci quel que soit le mode de fonctionnement et de répartition des tâches convenu ou accepté, entre les dirigeants de la société. Quand bien même le recourant ne s’occupait pas, au quotidien, de la gestion de la société, tâche dévolue au directeur, il devait s’assurer, par des contrôles réguliers, que les cotisations sociales paritaires étaient acquittées en faveur de l’intimée, ce qu’il n’a pas fait. Il n’a, en outre, pas démissionné, alors même qu’il savait n’avoir aucun contrôle sur l’argent et ceci même s’il était seul titulaire de la patente permettant l’exploitation des établissements. Dès lors que – selon ce qui semble ressortir du message susmentionné - le recourant ne pouvait s’opposer à l’attitude de D______, le propriétaire économique de la société, il aurait dû démissionner sans délai de ses fonctions (arrêt du Tribunal fédéral 9C_442/2014 du 24 novembre 2014 consid. 5.3.). Il ressort de ce qui précède que le recourant n’a pas fait preuve de la diligence requise et que sa négligence doit être qualifiée de grave.</w:t>
      </w:r>
    </w:p>
    <w:p>
      <w:r>
        <w:rPr>
          <w:b/>
        </w:rPr>
        <w:t>E. 5.3</w:t>
      </w:r>
    </w:p>
    <w:p>
      <w:r>
        <w:t>Enfin, il convient d’examiner la dernière condition, soit l’existence d’un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w:t>
      </w:r>
    </w:p>
    <w:p>
      <w:r>
        <w:rPr>
          <w:b/>
        </w:rPr>
        <w:t>E. 5.4</w:t>
      </w:r>
    </w:p>
    <w:p>
      <w:r>
        <w:t>En l’espèce, à teneur de son contrat de travail, le directeur a commencé son activité le 1 er avril 2018 et l’on est en droit d’attendre de la haute direction qu’elle surveille l’activité d’un directeur fraîchement engagé, pendant une certaine période, jusqu’à ce qu’elle acquiert la certitude que le directeur assume avec diligence la gestion de la société. Dans le cas présent, il apparaît qu’après un peu moins de cinq mois d’activité, le directeur a stoppé le paiement des cotisations sociales. S’il avait correctement exécuté son mandat en surveillant l’activité du directeur, le recourant aurait pu se rendre compte de l’interruption du paiement des cotisations sociales et intervenir, non seulement pour rétablir les paiements, mais voire empêcher la faillite de la société. Son comportement passif a favorisé la survenance du préjudice et la condition du lien de causalité est ainsi remplie. Celui-ci n’a en outre pas été interrompu, en l’espèce, par le comportement des autres organes de la société, le recourant se contentant d’affirmer, de manière très générale, que le non-paiement des cotisations sociales devait être imputé au directeur. À cet égard, il convient de rappeler qu'une limitation (et, a fortiori ,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Au vu de ces éléments, la chambre de céans retiendra que le recourant n'a pas assumé, dans les faits, les obligations liées à son mandat de gérant de la société, de sorte que sa responsabilité, au sens de l'art. 52 LAVS, doit être confirmée.</w:t>
      </w:r>
    </w:p>
    <w:p>
      <w:r>
        <w:rPr>
          <w:b/>
        </w:rPr>
        <w:t>E. 6</w:t>
      </w:r>
    </w:p>
    <w:p>
      <w:r>
        <w:t>Il reste à examiner le montant du dommage subi par l'intimée.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DP, n. 8017). Les éventuelles amendes prononcées par la caisse de compensation ne font pas partie du dommage et doivent le cas échéant être déduites (arrêt du tribunal fédéral H 142/03 du 19 août 2003 consid. 5.5). À cet égard, le recourant n’a pas contesté le montant du dommage, si ce n’est en ce qui concerne les amendes d’ordre. Or, comme l’a rappelé l’intimée dans sa réponse du 3 février 2025, les amendes d’ordre n’ont, en réalité, pas été prises en compte dans la détermination du dommage, comme cela ressort du calcul figurant dans la décision querellée et dans la pièce 3 du chargé intimée, intitulé « tableaux des irrécouvrables ». Partant, le montant du dommage est bien fondé.</w:t>
      </w:r>
    </w:p>
    <w:p>
      <w:r>
        <w:rPr>
          <w:b/>
        </w:rPr>
        <w:t>E. 7.1</w:t>
      </w:r>
    </w:p>
    <w:p>
      <w:r>
        <w:t>À l’aune de ce qui précède, le recours sera rejeté.</w:t>
      </w:r>
    </w:p>
    <w:p>
      <w:r>
        <w:rPr>
          <w:b/>
        </w:rPr>
        <w:t>E. 7.2</w:t>
      </w:r>
    </w:p>
    <w:p>
      <w:r>
        <w:t>Pour le surplus, la procédure est gratuite (art. 61 let. f bis LPGA a contrario et 89H al. 1 de la loi sur la procédure administrative du 12 septembre 1985 [LPA ‑ E 5 10]).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