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A/3762/2024 vom 27. Juni 2025</w:t>
      </w:r>
    </w:p>
    <w:p>
      <w:r>
        <w:t>GE Cour de justice, 2025-06-27, FR</w:t>
      </w:r>
    </w:p>
    <w:p>
      <w:r>
        <w:rPr>
          <w:b/>
        </w:rPr>
        <w:t xml:space="preserve">Quelle: </w:t>
      </w:r>
      <w:r>
        <w:t>https://mcp.opencaselaw.ch/entscheid/ge_gerichte_A_3762_2024</w:t>
      </w:r>
    </w:p>
    <w:p>
      <w:r>
        <w:t>FR: GE_GERICHTE A/3762/2024 du 27 juin 2025</w:t>
      </w:r>
    </w:p>
    <w:p>
      <w:r>
        <w:t>IT: GE_GERICHTE A/3762/2024 del 27 giugno 2025</w:t>
      </w:r>
    </w:p>
    <w:p>
      <w:pPr>
        <w:pStyle w:val="Heading2"/>
      </w:pPr>
      <w:r>
        <w:t>Erwägungen</w:t>
      </w:r>
    </w:p>
    <w:p>
      <w:r>
        <w:rPr>
          <w:b/>
        </w:rPr>
        <w:t>E. 2</w:t>
      </w:r>
    </w:p>
    <w:p>
      <w:r>
        <w:t>Le recourant conteste l'amende infligée par la PCTN. Il fait grief à cette dernière d'avoir constaté les faits de manière incomplète et d'avoir violé le principe de proportionnalité.</w:t>
      </w:r>
    </w:p>
    <w:p>
      <w:r>
        <w:rPr>
          <w:b/>
        </w:rPr>
        <w:t>E. 2.1</w:t>
      </w:r>
    </w:p>
    <w:p>
      <w:r>
        <w:t>Selon l'art. 1 LRDBHD, cette loi a pour but de régler les conditions d'exploitation des entreprises vouées à la restauration et/ou au débit de boissons à consommer sur place, à l’hébergement, ou encore au divertissement public (al. 1).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(al. 2). Les dispositions notamment en matière de protection de l'environnement, de tranquillité publique, de protection du public contre les niveaux sonores élevés ainsi que de santé prévues par d’autres lois ou règlements sont réservées. Leur application ressortit aux autorités compétentes (al. 4).</w:t>
      </w:r>
    </w:p>
    <w:p>
      <w:r>
        <w:rPr>
          <w:b/>
        </w:rPr>
        <w:t>E. 2.2</w:t>
      </w:r>
    </w:p>
    <w:p>
      <w:r>
        <w:t>Parmi les obligations des exploitants d’entreprises vouées à la restauration et au débit de boissons, les art. 24 al. 2 LRDBHD et 44 al. 3 RRDBHD prévoient que l’exploitation de l’entreprise doit se faire de manière à ne pas engendrer d’inconvénients pour le voisinage.</w:t>
      </w:r>
    </w:p>
    <w:p>
      <w:r>
        <w:rPr>
          <w:b/>
        </w:rPr>
        <w:t>E. 2.3</w:t>
      </w:r>
    </w:p>
    <w:p>
      <w:r>
        <w:t>Sauf dans les dancings et cabarets-dancings, toute animation, telle que la musique, la danse ou la présentation d'un spectacle, est subordonnée à l'obtention préalable d'une autorisation du département (art. 36 al. 1 LRDBHD et 35 al. 1 RRDBHD).</w:t>
      </w:r>
    </w:p>
    <w:p>
      <w:r>
        <w:rPr>
          <w:b/>
        </w:rPr>
        <w:t>E. 2.4</w:t>
      </w:r>
    </w:p>
    <w:p>
      <w:r>
        <w:t>À teneur de l’art. 60 LRDBHD, le département est l’autorité compétente pour décider des mesures et sanctions relatives à l’application de la loi. Sont réservées les dispositions spéciales de la loi qui désignent d’autres autorités, de même que les mesures et sanctions prévues par d’autres lois et règlements qui relèvent notamment des domaines visés à l’art. 1 al. 4 LRDBHD (al. 1). Tout rapport établi par la police, ou par tout autre agent de la force publique habilité à constater les infractions à la LRDBHD, est transmis sans délai au département (al. 2). De jurisprudence constante, la chambre administrative accorde généralement valeur probante aux constatations figurant dans un rapport de police, établi par des agents assermentés ( ATA/897/2018 du 4 septembre 2018 consid. 7f ; ATA/73/2017 du 31 janvier 2017 consid. 7 et les références citées), sauf si des éléments concrets permettent de s’en écarter.</w:t>
      </w:r>
    </w:p>
    <w:p>
      <w:r>
        <w:rPr>
          <w:b/>
        </w:rPr>
        <w:t>E. 2.5</w:t>
      </w:r>
    </w:p>
    <w:p>
      <w:r>
        <w:t>Aux termes de l'art. 65 LRDBHD intitulé « amendes administratives », en cas d'infraction à cette loi et à ses dispositions d'exécution, ainsi qu'aux conditions des autorisations, le département peut infliger une amende administrative de CHF 300.- à CHF 60'000.- à la place ou en sus du prononcé de l'une des mesures prévues à l'art. 63 LRDBHD (al. 1).</w:t>
      </w:r>
    </w:p>
    <w:p>
      <w:r>
        <w:rPr>
          <w:b/>
        </w:rPr>
        <w:t>E. 2.6</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 ATA/1158/2019 du 19 juillet 2019 consid. 3 ; ATA/12/2015 du 6 janvier 2015 et les références citées ; Pierre MOOR/Étienne POLTIER, Droit administratif : les actes administratifs et leur contrôle, vol. 2, 2011, ch. 1.4.5.5 p. 160 s.).</w:t>
      </w:r>
    </w:p>
    <w:p>
      <w:r>
        <w:rPr>
          <w:b/>
        </w:rPr>
        <w:t>E. 2.7</w:t>
      </w:r>
    </w:p>
    <w:p>
      <w:r>
        <w:t>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ATA/1158/2019 précité consid. 5b ; ATA/1457/2017 du 31 octobre 2017 consid. 7a ; ATA/824/2015 du 11 août 2015 consid. 14c). Il est ainsi nécessaire que le contrevenant ait commis une faute, fût‑ce sous la forme d’une simple négligence.</w:t>
      </w:r>
    </w:p>
    <w:p>
      <w:r>
        <w:rPr>
          <w:b/>
        </w:rPr>
        <w:t>E. 2.8</w:t>
      </w:r>
    </w:p>
    <w:p>
      <w:r>
        <w:t>Par ailleurs, l’amende doit respecter le principe de la proportionnalité (art. 36 al. 3 de la Constitution fédérale de la Confédération suisse du 18 avril 1999 ‑ Cst. ‑ RS 101). Il y a lieu de tenir compte de la culpabilité de l’auteur et de prendre en considération, notamment, les antécédents et la situation personnelle de ce dernier (art. 47 al. 1 CP). La culpabilité est, notamment,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des circonstances (art. 47 al. 2 CP ; ATA/1158/2019 précité consid. 5b ; ATA/1457/2017 précité consid. 7b ; ATA/824/2015 consid. 14d). La PCTN jouit d’un large pouvoir d’appréciation pour fixer le montant de l’amende. La juridiction de céans ne le censure qu’en cas d’excès ou d’abus ( ATA/1158/2019 précité consid. 5b ; ATA/331/2018 du 10 avril 2018 consid. 8b et les références citées).</w:t>
      </w:r>
    </w:p>
    <w:p>
      <w:r>
        <w:rPr>
          <w:b/>
        </w:rPr>
        <w:t>E. 2.9</w:t>
      </w:r>
    </w:p>
    <w:p>
      <w:r>
        <w:t>En l'espèce, la PCTN s'est fondée sur les rapports des 8 juin, 15 juillet et 29 juillet 2024 de la police, laquelle a constaté un bruit excessif les 6 juin, 6 juillet et 25 juillet 2024.</w:t>
      </w:r>
    </w:p>
    <w:p>
      <w:r>
        <w:rPr>
          <w:b/>
        </w:rPr>
        <w:t>E. 2.9.1</w:t>
      </w:r>
    </w:p>
    <w:p>
      <w:r>
        <w:t>Rien ne permet de s'écarter des constatations figurant dans ces rapports. Le recourant ne nie, au demeurant, pas le « problème – incontesté – des nuisances sonores générées par l'exploitation de son établissement », ni avoir organisé des animations musicales sans autorisation, en contravention avec l'art. 36 LRDBHD. C'est ainsi sans abus ni excès de son pouvoir d'appréciation et après avoir correctement établi les faits que la PCTN a conclu que trois infractions à l'art. 36 al. 1 LRDBHD et deux infractions à l'art. 24 al. 2 LRDBHD avaient été commises aux dates précitées.</w:t>
      </w:r>
    </w:p>
    <w:p>
      <w:r>
        <w:rPr>
          <w:b/>
        </w:rPr>
        <w:t>E. 2.9.2</w:t>
      </w:r>
    </w:p>
    <w:p>
      <w:r>
        <w:t>Le recourant se plaint du montant – de CHF 2'935.- – de l'amende infligée par la PCTN. Quoi que l'intéressé en dise, il ne peut être retenu que la gravité des infractions constatées serait « toute relative ». Il reconnaît d'ailleurs lui-même que ses efforts continus et sa prédisposition au dialogue n'empêchent pas « en moyenne [trois] à [quatre] infractions par année civile ». Le recourant a déjà fait l'objet d'amendes de CHF 2'540.- par décision du 7 octobre 2022, et de CHF 2'235.- par décision du 21 février 2024, en raison de six infractions à l'art. 36 al. 1 LRDBHD et de six infractions à l'art. 24 al. 2 LRDBHD, respectivement de trois infractions à l'art. 36 al. 1 LRDBHD, de deux infractions à l'art. 22 al. 3 LRDBHD, d'une infraction à l'art. 24 al. 2 LRDBHD, d'une infraction à l'art. 45 al. 9 à 11 RRDBHD et d'une infraction à l'art. 6 de la loi sur l'interdiction de fumer dans les lieux publics du 22 janvier 2009 (LIF - K 1 18). Compte tenu du cumul d'infractions, de sa culpabilité et de ses antécédents, le montant de l'amende n'apparaît pas disproportionné, ni s'écarter « de manière significative » des amendes précédemment prononcées à son encontre. Le recourant ne fait pas non plus valoir, preuves à l'appui, que sa situation financière ne lui permettrait pas de s'acquitter du montant infligé. Le grief sera écarté.</w:t>
      </w:r>
    </w:p>
    <w:p>
      <w:r>
        <w:rPr>
          <w:b/>
        </w:rPr>
        <w:t>E. 3</w:t>
      </w:r>
    </w:p>
    <w:p>
      <w:r>
        <w:t>Le recourant reproche ensuite à l'intimée de ne pas avoir saisi le SABRA pour qu'il se détermine. Ce grief a trait à la compétence de l'autorité.</w:t>
      </w:r>
    </w:p>
    <w:p>
      <w:r>
        <w:rPr>
          <w:b/>
        </w:rPr>
        <w:t>E. 3.1</w:t>
      </w:r>
    </w:p>
    <w:p>
      <w:r>
        <w:t>La compétence des autorités est déterminée par la loi et ne peut être créée par accord entre les parties (art. 11 al. 1 LPA).</w:t>
      </w:r>
    </w:p>
    <w:p>
      <w:r>
        <w:rPr>
          <w:b/>
        </w:rPr>
        <w:t>E. 3.2</w:t>
      </w:r>
    </w:p>
    <w:p>
      <w:r>
        <w:t>Si l'infraction relève des règles en matière de protection de l'environnement, le département peut notamment prononcer, en concertation avec l'autorité compétente en la matière, des restrictions, pour une durée de dix jours à six mois, à l'horaire d'exploitation des cafés-restaurants et bars, des dancings et cabarets-dancings, et des buvettes ou buvettes de service restreint (art. 63 al. 2 let. a LRDBHD). Concrètement, il s'agit d'offrir au département le moyen d'agir sur cette base – de concert avec le SABRA – de manière plus ciblée, à la place des mesures visées à l'al. 1 (PL 11'282, p. 76).</w:t>
      </w:r>
    </w:p>
    <w:p>
      <w:r>
        <w:rPr>
          <w:b/>
        </w:rPr>
        <w:t>E. 3.3</w:t>
      </w:r>
    </w:p>
    <w:p>
      <w:r>
        <w:t>La loi fédérale sur la protection de l'environnement du 7 octobre 1983 (loi sur la protection de l'environnement - LPE - RS 814.01) a notamment pour but de protéger les hommes des atteintes nuisibles ou incommodantes (art. 1 al. 1 LPE). Par atteintes, il faut comprendre notamment, selon l'art. 7 al. 1 LPE, les pollutions atmosphériques et le bruit qui sont dus à l'exploitation d'installations. L'ordonnance fédérale sur la protection contre le bruit du 15 décembre 1986 (OPB - RS 814.41) a pour but de protéger la population contre le bruit nuisible ou incommodant que produit l'exploitation d'installations nouvelles ou existantes (art. 1 al. 1 et 2 let. a OPB).</w:t>
      </w:r>
    </w:p>
    <w:p>
      <w:r>
        <w:rPr>
          <w:b/>
        </w:rPr>
        <w:t>E. 3.4</w:t>
      </w:r>
    </w:p>
    <w:p>
      <w:r>
        <w:t>Un établissement public est une installation fixe dont l'exploitation produit du bruit extérieur (ATF 130 II 32 consid. 2.1 ; arrêt du Tribunal fédéral 1A.109/2005 du 6 décembre 2005 consid. 3.2). Il est dès lors soumis aux règles du droit fédéral sur la protection contre le bruit (art. 2 al. 1 OPB) en relation avec l'art. 7 al. 7 LPE ( ATA/145/2023 du 14 février 2023 consid. 7b).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4a.bb ; Benoît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ATA/145/2023 précité consid. 7b ; Anne-Christine FAVRE, Le bruit des établissements publics, RDAF 2000 I, p. 3 ; François BELLANGER, La loi sur la protection de l'environnement, jurisprudence de 1995 à 1999, DEP 2001, p. 36). C'est aussi le cas du bruit que causent les travaux de nettoyage et de rangement de la terrasse ; leurs émissions sont également à rattacher à l'exploitation de l'établissement (ATF 123 II 325 = JdT 1998 I p. 461).</w:t>
      </w:r>
    </w:p>
    <w:p>
      <w:r>
        <w:rPr>
          <w:b/>
        </w:rPr>
        <w:t>E. 3.5</w:t>
      </w:r>
    </w:p>
    <w:p>
      <w:r>
        <w:t>Conformément à l'art. 40 al. 1 OPB, l'autorité d'exécution évalue les immissions de bruit extérieur produites par les installations fixes sur la base des valeurs limites d'exposition selon les annexes 3 ss OPB. Aucune des annexes de l'OPB ne s'applique toutefois au bruit des établissements publics (arrêts du Tribunal fédéral 1C_460/2007 du 23 juillet 2008 consid. 2.1 ; 1A.262/2000 du 6 juillet 2001 consid. 2c.dd et les références citées). L'autorité compétente en matière de protection contre le bruit doit dès lors évaluer les immissions de bruit en se fondant directement sur les principes de l'art. 15 LPE, en vertu duquel les valeurs limites d'immissions relatives au bruit doivent être fixées de manière que, selon l'état de la science et l'expérience, les immissions inférieures à ces valeurs ne gênent pas de manière sensible la population dans son bien-être.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Ainsi un quartier urbain situé au centre-ville,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Il convient également de tenir compte, selon l'art. 13 al. 2 LPE, de l'effet des immissions sonores sur des catégories de personnes particulièrement sensibles, telles que les enfants, les malades, les personnes âgées et les femmes enceintes, étant précisé que la phase de l'endormissement, qui se situe entre 22h00 et 23h30, mérite particulièrement d'être protégée (arrêt du Tribunal fédéral 1C_460/2007 précité consid. 2.2 et les références citées).</w:t>
      </w:r>
    </w:p>
    <w:p>
      <w:r>
        <w:rPr>
          <w:b/>
        </w:rPr>
        <w:t>E. 3.6</w:t>
      </w:r>
    </w:p>
    <w:p>
      <w:r>
        <w:t>Le SABRA est le service spécialisé en matière de protection contre le bruit, les vibrations et les rayonnements non ionisants (art. 4 al. 1 du règlement sur la protection contre le bruit et les vibrations du 12 février 2003 - RPBV - K 1 70.10).</w:t>
      </w:r>
    </w:p>
    <w:p>
      <w:r>
        <w:rPr>
          <w:b/>
        </w:rPr>
        <w:t>E. 3.7</w:t>
      </w:r>
    </w:p>
    <w:p>
      <w:r>
        <w:t>Dans un arrêt concernant la plainte d'une association déposée auprès de la PCTN, la chambre administrative a retenu que cette autorité avait admis l’existence des nuisances alléguées, et donc les infractions à l’art. 24 al. 2 LRDBHD. La cause a été renvoyée à la PCTN pour instruction complémentaire et nouvelle décision sur la demande de limitation des horaires des treize établissements publics concernés. Ce renvoi était motivé par le fait que le dossier ne permettait pas de déterminer si le bruit extérieur était uniquement lié à l’exploitation des terrasses ou également à celle des treize établissements publics eux-mêmes. En conséquence, le SABRA, service spécialisé compétent pour analyser la question des nuisances sonores, était à même de procéder à une analyse du bruit lié à l’exploitation des établissements publics eux-mêmes, par exemple par une analyse du bruit entre l’heure de fermeture des terrasses et celle des établissements, notamment le jeudi, jour de grande affluence, selon la présentation du SABRA, où les terrasses fermaient, depuis l’entrée en vigueur du nouveau règlement de la ville, plus tôt que les établissements eux-mêmes, ce qui permettrait ensuite de déterminer si une mesure se justifiait au niveau de l’exploitation des établissements eux-mêmes ( ATA/145/2023 précité consid. 9).</w:t>
      </w:r>
    </w:p>
    <w:p>
      <w:r>
        <w:rPr>
          <w:b/>
        </w:rPr>
        <w:t>E. 3.8</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 arrêt du Tribunal fédéral 6B_354/2015 du 20 janvier 2016 consid. 4.1).</w:t>
      </w:r>
    </w:p>
    <w:p>
      <w:r>
        <w:rPr>
          <w:b/>
        </w:rPr>
        <w:t>E. 3.9</w:t>
      </w:r>
    </w:p>
    <w:p>
      <w:r>
        <w:t>En l'espèce, l'autorité intimée retient l'existence de nuisances pour le voisinage. Elle a prononcé, en sus de l'amende, une restriction de l'horaire d'exploitation de l'établissement du recourant à minuit tous les jours durant un mois – ce qui correspond à la mesure prévue par l'art. 63 al. 2 let. a LRDBHD. Il n'est pas contesté que la cause concerne la protection de l'environnement, puisqu'il s'agit de nuisances sonores émises par un établissement public, et donc d'émissions soumises à la LPE et à l'OPB. Or, l'art. 63 al. 2 LRDBHD donne la compétence à l'autorité intimée pour prendre des mesures dans un tel cas – ceci en se concertant avec le SABRA. L'autorité intimée ne démontre pas in casu , ni d'ailleurs n'allègue avoir procédé à une telle concertation. Au vu de ce qui précède, la décision a été prononcée en violation des règles de compétence prévues par la LRDBHD, en l'absence de concertation avec le SABRA. S'agissant de l'absence d'une concertation requise par la loi et non du prononcé d'une décision par une autorité incompétente en tant que telle, il ne s'agit pas d'un cas dans lequel il conviendrait de constater la nullité de la décision attaquée. Celle-ci sera dès lors partiellement annulée. Dans ces circonstances, le recours sera partiellement admis, la décision attaquée confirmée en tant qu'elle porte sur l'amende et annulée en tant qu'elle porte sur la restriction de l'horaire d'exploitation, le dossier étant renvoyé à l'autorité intimée pour instruction complémentaire et prononcé d'une nouvelle décision en concertation avec le SABRA.</w:t>
      </w:r>
    </w:p>
    <w:p>
      <w:r>
        <w:rPr>
          <w:b/>
        </w:rPr>
        <w:t>E. 4</w:t>
      </w:r>
    </w:p>
    <w:p>
      <w:r>
        <w:t>Le recourant n'obtenant que partiellement gain de cause, un émolument réduit de CHF 250.- sera mis à sa charge (art. 87 al. 1 LPA). Vu cette issue, une indemnité de procédure de CHF 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