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A/3761/2024 vom 6. Dezember 2024</w:t>
      </w:r>
    </w:p>
    <w:p>
      <w:r>
        <w:t>GE Cour de justice, 2024-12-06, FR</w:t>
      </w:r>
    </w:p>
    <w:p>
      <w:r>
        <w:rPr>
          <w:b/>
        </w:rPr>
        <w:t xml:space="preserve">Quelle: </w:t>
      </w:r>
      <w:r>
        <w:t>https://mcp.opencaselaw.ch/entscheid/ge_gerichte_A_3761_2024</w:t>
      </w:r>
    </w:p>
    <w:p>
      <w:r>
        <w:t>FR: GE_GERICHTE A/3761/2024 du 6 décembre 2024</w:t>
      </w:r>
    </w:p>
    <w:p>
      <w:r>
        <w:t>IT: GE_GERICHTE A/3761/2024 del 6 dicembre 2024</w:t>
      </w:r>
    </w:p>
    <w:p>
      <w:pPr>
        <w:pStyle w:val="Heading2"/>
      </w:pPr>
      <w:r>
        <w:t>Erwägungen</w:t>
      </w:r>
    </w:p>
    <w:p>
      <w:r>
        <w:rPr>
          <w:b/>
        </w:rPr>
        <w:t>E. 2</w:t>
      </w:r>
    </w:p>
    <w:p>
      <w:r>
        <w:t>Selon l’art. 10 al. 2 1 ère phr. LaLEtr, la chambre administrative doit statuer dans les dix jours qui suivent sa saisine. Ayant reçu le recours le 27 novembre 2024 et statuant ce jour, elle respecte ce délai.</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CP). Le recourant ayant fait l'objet d'une décision de renvoi de Suisse et été condamné pour vol, infraction constitutive de crime, les conditions de sa détention administrative sont réalisées, ce que celui-ci ne conteste d’ailleurs pas. Il fait en revanche valoir qu’en raison de l’absence de prise en charge médicale en Tunisie et du risque d’atteinte à son intégrité qu’il y court compte tenu de son homosexualité, son renvoi serait « impossible ».</w:t>
      </w:r>
    </w:p>
    <w:p>
      <w:r>
        <w:rPr>
          <w:b/>
        </w:rPr>
        <w:t>E. 4</w:t>
      </w:r>
    </w:p>
    <w:p>
      <w:r>
        <w:t>Il convient donc d’examiner si le renvoi du recourant est illicite ou inexigible.</w:t>
      </w:r>
    </w:p>
    <w:p>
      <w:r>
        <w:rPr>
          <w:b/>
        </w:rPr>
        <w:t>E. 4.1</w:t>
      </w:r>
    </w:p>
    <w:p>
      <w:r>
        <w:t>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4.4</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ATA/264/2023 du 16 mars 2023 consid. 5.4 ; ATA/1004/2021 du 28 septembre 2021 consid. 4a).</w:t>
      </w:r>
    </w:p>
    <w:p>
      <w:r>
        <w:rPr>
          <w:b/>
        </w:rPr>
        <w:t>E. 4.5</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w:t>
      </w:r>
    </w:p>
    <w:p>
      <w:r>
        <w:rPr>
          <w:b/>
        </w:rPr>
        <w:t>E. 4.6</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 II : loi sur les étrangers, 2017, p. 949). Selon le Tribunal administratif fédéral (arrêt D-3978/2019 du 25 juin 2021), les personnes homosexuelles vivant en Tunisie subissent une discrimination généralisée, vivent dans la crainte d’être arrêtées et sont particulièrement exposées à la violence en raison de leur orientation sexuelle ou de leur identité de genre, réelle ou présumée (consid. 3.4.4.3). Cette réalité ne rend toutefois pas généralement impossible un retour en Tunisie pour ces personnes susmentionnées ; il faut encore que des indices concrets et sérieux permettent d'admettre, pour une personne spécifique, qu'elle pourrait légitimement craindre d'être victime de discrimination ou de subir à brève échéance des menaces directes de la part d'un membre de sa famille, ou encore de la part de tiers ou d'agents publics (consid. 3.4.5). La CourEDH a retenu le 12 novembre 2024, dans la cause M.I. c. Suisse (req. n°56390/21), qu’il convenait d’examiner si, en fonction des circonstances personnelles de l’intéressé, le risque de subir, en cas de renvoi dans son pays d’origine (en l’occurrence l’Iran qui connaît la peine de mort, respectivement la flagellation pour les actes d’ordre sexuel entre personnes du même sexe), un traitement inhumain ou dégradant, était réel. La CourEDH a estimé que l’homosexualité du requérant – qui était établie – allait être indubitablement connue des autorités iraniennes, d’une part, et, d’autre part, que celles-ci avaient pour pratique de mettre à exécution les peines décrites ci-dessus (arrêt § 49ss).</w:t>
      </w:r>
    </w:p>
    <w:p>
      <w:r>
        <w:rPr>
          <w:b/>
        </w:rPr>
        <w:t>E. 4.7</w:t>
      </w:r>
    </w:p>
    <w:p>
      <w:r>
        <w:t>En l’espèce, le recourant n’a que récemment affirmé son orientation sexuelle. Il explique s’être séparé de sa seconde épouse, en 2016, après que celle-ci eut découvert son homosexualité. Il est cependant resté très général au sujet de son homosexualité, n’indiquant pas depuis quand il l’était ni comment il l’avait vécue avant, voire après sa séparation de sa seconde épouse. Il ne soutient pas devant la chambre de céans avoir eu de relation ni avoir vécu avec un homme ni ne décrit comment il vivrait ou assumerait sa préférence sexuelle au quotidien. Il ne fournit par ailleurs aucun indice concret et sérieux relatif à ses allégations d’actes violents ou de dénonciation de la part de ses frères vivant en Tunisie permettant d’admettre qu’il pourrait légitimement craindre, lors d’un éventuel retour en Tunisie, d’y être victime de menaces directes de la part d’un membre de sa famille du fait de son homosexualité, étant rappelé qu’il était retourné en Tunisie en 2020 pour quelques mois. Au vu de ces éléments, le recourant n’a rendu vraisemblable ni son homosexualité ni un risque concret qu’il pourrait courir à son retour en Tunisie du fait de son homosexualité. Le rapport médical établi par les HUG le 11 novembre 2024 fait état de la polydépendance dont souffre le recourant et indique qu’il devra bénéficier d’une prise de méthadone et d’un suivi motivationnel. Comme l’a retenu le TAPI, il n'apparaît ainsi pas que le recourant dispose d’un suivi médical de longue date, mais qu’il devrait en bénéficier. Partant, il n’est pas vraisemblable qu’en cas de retour en Tunisie et dans l’hypothèse où le traitement préconisé n’y serait pas disponible, le recourant encourrait à un risque vital imminent grave, rapide ou irréversible, puisque la situation serait la même que celle qu'il a connue jusqu'ici en l'absence de tels traitements. Compte tenu de ce qui précède, il n’apparaît pas que l’état de santé ou l’homosexualité alléguée du recourant rendent son renvoi impossible ou qu’il ne puisse raisonnablement être exigé.</w:t>
      </w:r>
    </w:p>
    <w:p>
      <w:r>
        <w:rPr>
          <w:b/>
        </w:rPr>
        <w:t>E. 5</w:t>
      </w:r>
    </w:p>
    <w:p>
      <w:r>
        <w:t>Reste encore à examiner si la détention administrative respect le principe de la proportionnalité.</w:t>
      </w:r>
    </w:p>
    <w:p>
      <w:r>
        <w:rPr>
          <w:b/>
        </w:rPr>
        <w:t>E. 5.1</w:t>
      </w:r>
    </w:p>
    <w:p>
      <w:r>
        <w:t>Ce principe, garanti par l’art. 36 Cst.,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ATA/1037/2022 du 14 octobre 2022 consid. 4 et l’arrêt cité).</w:t>
      </w:r>
    </w:p>
    <w:p>
      <w:r>
        <w:rPr>
          <w:b/>
        </w:rPr>
        <w:t>E. 5.2</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à certaines conditions (al. 2 let. a et b). Conformément à l’art. 76 al. 4 LEI, les démarches nécessaires à l’exécution du renvoi ou de l’expulsion doivent être entreprises sans tarder.</w:t>
      </w:r>
    </w:p>
    <w:p>
      <w:r>
        <w:rPr>
          <w:b/>
        </w:rPr>
        <w:t>E. 5.3</w:t>
      </w:r>
    </w:p>
    <w:p>
      <w:r>
        <w:t>En l'espèce, le recourant ne s’est pas conformé à la décision de renvoi et s’oppose clairement dans la présente procédure à celui-ci. Il peut ainsi être retenu que sa détention apparaisse comme le seul moyen apte à permettre l'exécution de ce renvoi, toute mesure moins incisive ne pouvant que favoriser la disparition de l'intéressé dans la clandestinité. Au vu des infractions commises, il existe un intérêt public important à l’exécution du renvoi. L’autorité chargée de celle-ci a agi avec célérité, ayant obtenu le 11 septembre 2024 déjà la reconnaissance par les autorités tunisiennes du recourant comme l’un de leurs ressortissants et ayant réservé un vol de retour pour le 9 décembre 2024. La durée de la détention paraît adéquate, car elle permet, si le départ du recourant prévu le 9 décembre 2024 ne pouvait pas avoir lieu, d’entreprendre les démarches en vue d'une nouvelle tentative de renvoi. Enfin, elle demeure également dans les limites de l’art. 79 LEI. La détention administrative pour deux mois ne viole donc pas non plus le principe de proportionnalité. En tous points infondé, le recours sera rejeté.</w:t>
      </w:r>
    </w:p>
    <w:p>
      <w:r>
        <w:rPr>
          <w:b/>
        </w:rPr>
        <w:t>E. 6</w:t>
      </w:r>
    </w:p>
    <w:p>
      <w:r>
        <w:t>La procédure est gratuite. Vu son issue,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