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A/3756/2015 vom 19. Januar 2016</w:t>
      </w:r>
    </w:p>
    <w:p>
      <w:r>
        <w:t>GE Cour de justice, 2016-01-19, FR</w:t>
      </w:r>
    </w:p>
    <w:p>
      <w:r>
        <w:rPr>
          <w:b/>
        </w:rPr>
        <w:t xml:space="preserve">Quelle: </w:t>
      </w:r>
      <w:r>
        <w:t>https://mcp.opencaselaw.ch/entscheid/ge_gerichte_A_3756_2015</w:t>
      </w:r>
    </w:p>
    <w:p>
      <w:r>
        <w:t>FR: GE_GERICHTE A/3756/2015 du 19 janvier 2016</w:t>
      </w:r>
    </w:p>
    <w:p>
      <w:r>
        <w:t>IT: GE_GERICHTE A/3756/2015 del 19 gennaio 2016</w:t>
      </w:r>
    </w:p>
    <w:p>
      <w:pPr>
        <w:pStyle w:val="Heading2"/>
      </w:pPr>
      <w:r>
        <w:t>Erwägungen</w:t>
      </w:r>
    </w:p>
    <w:p>
      <w:r>
        <w:rPr>
          <w:b/>
        </w:rPr>
        <w:t>E. 1</w:t>
      </w:r>
    </w:p>
    <w:p>
      <w:r>
        <w:t>L’octroi de la mesure est subordonné à la production, avant la prise d'emploi, d’un contrat de travail à durée indéterminée.</w:t>
      </w:r>
    </w:p>
    <w:p>
      <w:r>
        <w:rPr>
          <w:b/>
        </w:rPr>
        <w:t>E. 2</w:t>
      </w:r>
    </w:p>
    <w:p>
      <w:r>
        <w:t>Le salaire déterminant pour le versement de l’allocation est plafonné au montant maximum du gain mensuel assuré dans l’assurance-accidents obligatoire.</w:t>
      </w:r>
    </w:p>
    <w:p>
      <w:r>
        <w:rPr>
          <w:b/>
        </w:rPr>
        <w:t>E. 3</w:t>
      </w:r>
    </w:p>
    <w:p>
      <w:r>
        <w:t>L’allocation est versée par l’intermédiaire de l’employeur, lequel doit payer les cotisations usuelles aux assurances sociales sur l’intégralité du salaire et prélever la part du travailleur.</w:t>
      </w:r>
    </w:p>
    <w:p>
      <w:r>
        <w:rPr>
          <w:b/>
        </w:rPr>
        <w:t>E. 4</w:t>
      </w:r>
    </w:p>
    <w:p>
      <w:r>
        <w:t>Le Conseil d’Etat détermine le montant de la participation au salaire. Celle-ci correspond en moyenne à 50% du salaire brut et est versée de manière dégressive pendant 12 mois maximum, respectivement 24 mois maximum ».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 5.        Selon l'art. 337 CO,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tels le fait que le travailleur a été sans sa faute empêché de travailler (al. 3).![endif]&gt;![if&gt;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 ATF 123 III 86 ).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(arrêt du Tribunal fédéral des assurances P 41/9 du 25 avril 2002 consid. 2). 6.        L'art. 48B LMC, enfin, autorise l'autorité compétente à révoquer sa décision d'octroi et à exiger la restitution des prestations touchées indûment, en cas de violation de la loi, du règlement ou des obligations contractuelles mises à charge du bénéficiaire de la mesure, de l'entité utilisatrice ou de l'employeur.![endif]&gt;![if&gt; 7.        L’art. 48B al. 2 LMC précise que ![endif]&gt;![if&gt; « L’autorité compétente peut renoncer à exiger la restitution sur demande de l’intéressé, lorsque celui-ci est de bonne foi et que la restitution le mettrait dans une situation financière difficile ».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9.        En l’espèce, la société s’est vu reconnaître le droit à une ARE en faveur de l’assuré engagé en qualité de cuisinier, pour une période allant du 10 décembre 2013 au 9 décembre 2014. ![endif]&gt;![if&gt; Il appert de la partie en fait qui précède que le contrat de travail a été résilié le 30 octobre 2014 avec effet au 30 novembre 2014, soit avant la fin de l’ARE. Or, selon l’art. 32 LMC, le contrat de travail ne peut être résilié pendant la période de l’ARE que s’il y a justes motifs au sens de l’art. 337 CO. 10.    La société relève que la décision du 12 décembre 2013, ne précise pas que l’octroi de l’ARE est subordonné à la condition que le contrat de travail ne soit pas résilié tant que dure la mesure. Force est toutefois de constater que dans le formulaire de demande d’ARE signé par la société le 8 octobre 2013, ainsi que dans celui du 22 novembre 2013, - au demeurant identique au premier -, il est expressément stipulé que![endif]&gt;![if&gt; « l’employeur s’engage à conclure avec l’employé un contrat de travail à durée indéterminée et, dans le cas où une période d’essai est prévue, à la limiter si possible à un mois ; à l’issue de la période d’essai, si le contrat de travail est résilié avant la fin de la durée totale de la mesure ou dans les trois mois suivants, à rembourser les allocations sur décision de l’autorité compétente, pour autant qu’il ne s’agisse pas d’un licenciement pour justes motifs au sens de l’art. 337 CO ». La société ne saurait dès lors prétendre n’avoir pas été renseignée. Elle a été dûment informée des conditions auxquelles l'octroi de l'ARE est subordonné, par la communication des dispositions légales applicables. Aussi ne pouvait-elle manquer de savoir que si elle ne gardait pas son employé jusqu’au 9 décembre 2014, ou dans les trois mois suivants, elle perdrait le droit à l'ARE. La loi ne prévoit à cet égard aucune exception à ce principe, même lorsque l'employeur doit renoncer au service d'un employé pour des raisons économiques ( ATAS/1268/2009 ). 11.    Il y a lieu de constater qu’à réitérées reprises, le TF a retenu que la formule de confirmation de l'employeur relative à l'initiation au travail (AIT) modifie et complète le contrat de travail en posant des conditions supplémentaires - notamment la durée minimale du contrat de travail - auxquelles l’employeur se soumet expressément en le signant. Le TF a jugé que « l’autorité cantonale peut introduire de telles conditions, qui font l'objet d'une clause accessoire, dans le cadre des compétences qui lui sont conférées par l'art. 90 al. 3 OACI, dès lors qu'elles servent à la réalisation des exigences posées par la loi » (arrêt du Tribunal fédéral 14/02 du 10 juillet 2002 ; GRISEL, Traité de droit administratif, vol. I, p. 408 sv.; Ulrich HÄFELIN/Georg MÜLLER, Grundriss des Allgemeinen Verwaltungsrechts, 3e éd., Zurich 1998, p. 186 sv.).![endif]&gt;![if&gt; Dans un arrêt du 23 mars 2006 (C 15/05), le TF a confirmé que ce formulaire est une clause accessoire au contrat de travail, laquelle prime tout accord contenant des clauses contraires. Or, l’AIT (art. 7 et 59 LACI et 90 OACI), tout comme l’ARE (art. 30 LMC), sont des allocations ayant pour objectif de favoriser le retour à l’emploi des chômeurs qui ont épuisé leur droit à des prestations fédérales de l’assurance-chômage. L'ARE est une mesure cantonale venant compléter l'AIT prévue par l'assurance-chômage fédérale. Aussi applique-t-on, par analogie, la jurisprudence rendue par le TF en matière d’AIT aux ARE. On peut dès lors confirmer que la société s'est engagée, en signant le formulaire « demande ARE », à employer l'assuré pendant une durée minimale correspondant à la durée de l'ARE plus un délai de trois mois, sous réserve d'une résiliation pour justes motifs au sens de l'art. 337 CO. 12.    La société allègue avoir cru qu’elle était en droit de licencier l’assuré pour le 30 novembre 2013 puisque celui-ci, à cette date, avait travaillé pour elle plus de douze mois consécutifs. ![endif]&gt;![if&gt; La chambre de céans constate toutefois que c’est avant la fin de la mesure, que le contrat de travail ne peut être résilié. Il est question de la durée de l’ARE et non pas de la durée de l’engagement. Les ARE sont uniquement versées durant la mesure accordée. Elles ne l’ont été en l’espèce, qu’à compter du 9 décembre 2013, et non du 1 er novembre 2013, date de l’engagement. La société ne saurait ainsi prétendre avoir confondu l’engagement de l’assuré intervenu le 1 er novembre 2013 et le début de l’ARE fixé au 10 décembre 2013. 13.    Reste à examiner si la société, qui a résilié le contrat de travail prématurément, peut se prévaloir de justes motifs, étant rappelé que la résiliation immédiate pour justes motifs, mesure exceptionnelle, doit être admise de manière restrictive et que seul un manquement particulièrement grave du travailleur justifie son licenciement immédiat. ![endif]&gt;![if&gt; 14.    Dans le cas particulier, la société, par lettre du 30 octobre 2013, a mis fin aux rapports de travail en invoquant des raisons économiques. Il s'agit là de motifs économiques généraux, qui ne constituent pas des justes motifs au sens de l'art. 337 CO (arrêt C 14/02 du 10 juillet 2002 ; ATF C 15/05 du 23 mars 2006). ![endif]&gt;![if&gt; La société allègue toutefois avoir en réalité licencié l’assuré au vu du comportement de celui-ci et, partant, de la rupture du lien de confiance nécessaire à toute relation de travail. Elle considère ainsi avoir eu de justes motifs pour résilier le contrat de travail de l’assuré. Force est toutefois de constater qu’elle n’a concrètement pas licencié celui-ci sur la base de l’art. 337 CO. Elle a ainsi renoncé à se prévaloir d’un licenciement pour justes motifs, de sorte qu’il y a lieu de conclure que la société a mis fin au contrat de travail avant l’échéance de la mesure expressément indiquée sur le formulaire, sans qu’il y ait justes motifs au sens de l’art. 337 CO. 15.    Dans un arrêt ATF 126 V 42 ,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contractuelles.![endif]&gt;![if&gt; 16.    L’OCE est en droit, partant, de réclamer à la société la restitution des prestations touchées indûment conformément à l’art. 48B LMC.![endif]&gt;![if&gt; 17.    Le montant de CHF 30’035.- dont le remboursement est réclamé par l’OCE, et représentant les ARE versées de décembre 2013 à septembre 2014, n’est pas contesté.![endif]&gt;![if&gt; Aussi le recours est-il rejeté. 18.    La conclusion formulée à titre subsidiaire par la société dans son recours visant à obtenir de l’OCE la renonciation à la restitution vaut d’ores et déjà demande de remise de l’obligation de rembourser la somme réclamée. Aussi l’OCE est-il invité à examiner les conditions de l’art. 48B al. 2 LMC, aussitôt le présent jugement entré en force, et à rendre une décision.![endif]&gt;![if&gt;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