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A/3749/2021 vom 25. Mai 2022</w:t>
      </w:r>
    </w:p>
    <w:p>
      <w:r>
        <w:t>GE Cour de justice, 2022-05-25, FR</w:t>
      </w:r>
    </w:p>
    <w:p>
      <w:r>
        <w:rPr>
          <w:b/>
        </w:rPr>
        <w:t xml:space="preserve">Quelle: </w:t>
      </w:r>
      <w:r>
        <w:t>https://mcp.opencaselaw.ch/entscheid/ge_gerichte_A_3749_2021</w:t>
      </w:r>
    </w:p>
    <w:p>
      <w:r>
        <w:t>FR: GE_GERICHTE A/3749/2021 du 25 mai 2022</w:t>
      </w:r>
    </w:p>
    <w:p>
      <w:r>
        <w:t>IT: GE_GERICHTE A/3749/2021 del 25 maggio 2022</w:t>
      </w:r>
    </w:p>
    <w:p>
      <w:pPr>
        <w:pStyle w:val="Heading2"/>
      </w:pPr>
      <w:r>
        <w:t>Regeste</w:t>
      </w:r>
    </w:p>
    <w:p>
      <w:r>
        <w:t>REMISE EN L'ÉTAT;ZONE AGRICOLE | LAT.22; LCI.129.lete</w:t>
      </w:r>
    </w:p>
    <w:p>
      <w:pPr>
        <w:pStyle w:val="Heading2"/>
      </w:pPr>
      <w:r>
        <w:t>Erwägungen</w:t>
      </w:r>
    </w:p>
    <w:p>
      <w:r>
        <w:rPr>
          <w:b/>
        </w:rPr>
        <w:t>E. 2</w:t>
      </w:r>
    </w:p>
    <w:p>
      <w:r>
        <w:t>, était « petite », comparée aux grands terrains cultivés qui la bordaient, de sorte qu’elle ne serait « de toutes façons d’aucune utilité à l’agriculture ». Il faisait perdurer l’activité qui avait eu lieu sur cette parcelle depuis de très nombreuses années. Sa société, fondée quarante-et-un ans plus tôt, employait actuellement huit personnes à l’année, était en charge de chantiers dans tout canton et comptait six véhicules professionnels nécessaires à la livraison des ouvrages réalisés sur place. Il n’avait pas recouru contre la décision rendue par le DT le 30 avril 2021 « dans l’optique de parvenir à ajuster ses vues avec celles » de ce dernier, étant précisé qu’il avait notamment pris contact avec un architecte en vue de déposer une éventuelle autorisation de construire, ce dont il avait informé l'autorité à plusieurs reprises. Si sa parcelle restait assujettie aux règles de la zone agricole, elle n’était en majorité pas en surface d’assolement, de sorte que sa plus grande partie, notamment celle où se trouvaient les containers litigieux, ne bénéficiait d’aucune protection particulière. Ainsi, il ne comprenait pas pourquoi la décision attaquée spécifiait que la remise en état de la surface sur laquelle se situait - notamment - les containers devrait correspondre aux critères d’aptitude fixés pour les surfaces d’assolement. En outre, l’usage qu’il faisait de sa parcelle devait être examiné « avec plus de souplesse », au vu de son non assujettissement à la LDFR et de la reconnaissance par la CFA du fait qu'elle n’était d’aucune utilité à l’agriculture. Il utilisait sa parcelle pour son activité de construction métallique, soit notamment la réalisation de portails, clôtures, garde-corps et pergolas, qui impliquait le stockage de nombreux matériaux, et pour parquer les six véhicules de l’entreprise, ainsi que ceux des employés et des clients. Le bateau litigieux quitterait la parcelle le 17 novembre 2021. En outre, le sol sur lequel les containers étaient entreposés n’était pas une surface d’assolement et ne bénéficiait d’aucune protection particulière, ce sol étant par ailleurs inchangé depuis les années 1970. Enfin, les déchets de chantier, inhérents à son activité, pouvaient être facilement évacués. Les conditions de validité de l’ordre de remise en état querellé n’étaient pas remplies, l'activité qu'il déployait étant demeurée inchangée depuis plus de cinquante ans. Encore une fois, la majeure partie n’étant pas en surface d’assolement, le seul intérêt public à la remise en état était de pouvoir déployer des activités agricoles au sens strict, pour autant qu’il revendît cette « toute petite parcelle » à un agriculteur. Or, il avait été confirmé par la CFA que celle-ci ne répondait pas aux critères d’assujettissement à la LDFR, ce qui impliquait qu’elle n’était d’aucune utilité pour l’agriculture. Il n’y avait donc aucun intérêt à requérir la remise en état d’une parcelle ne servant pas à l’agriculture. 13.         Dans ses observations du 10 janvier 2022, auxquelles étaient joints son dossier et des documents relatifs aux demandes d’autorisation de construire définitive et préalable mentionnées ci-après, le DT a conclu au rejet du recours.![endif]&gt;![if&gt; Le 28 novembre 1974, un permis d’occuper le bâtiment n° 6______ - transformé, selon l’autorisation de construire DD 11______, en « forge, réparation de machines agricoles et serrurerie » - avait été délivré. Le 21 décembre 1988, le département avait autorisé la rénovation des locaux et des modifications intérieures (APA 8______). La condition n° 5 de cette autorisation, inscrite au registre foncier le 2 janvier 1990, précisait que « Les locaux seront exclusivement destinés à l’activité qui s’y exerce actuellement, à savoir : - L’exploitation d’une tôlerie, serrurerie et constructions métalliques, importation, commerce et réparation de machines agricoles et industrielles et vente d’essence ; - En cas de cessation de l’exploitation par Monsieur H______, ce dernier ne pourra vendre ou louer le bâtiment qu’à une personne ou une société qui déploierait une activité identique à la sienne ; - S’il devait s’avérer impossible de maintenir, en cas de vente ou de location, l’actuelle affectation du bâtiment, ce dernier devrait alors être impérativement restitué à un usage agricole ». Le plan de masse visé ne varietur dans le cadre de l’APA 8______ le 21 décembre 1988 indiquait clairement les aménagements extérieurs autorisés, soit notamment six places de parking visiteurs, quatorze places de parking pour le personnel et aucune construction, hormis une remise existante. Après avoir refusé, le 5 novembre 1992, d’autoriser l’installation d’un portail et d’une clôture (APA 9______), le département avait donné son accord, le 23 février 1993 à l’installation d’un portail et d’une clôture, dont le périmètre avait été limité à la partie de la parcelle non-comptabilisée dans les surfaces d’assolement du canton (APA 10______). Aucune autre requête en autorisation de construire n’avait été déposée depuis lors. La décision de non-assujettissement à la LDFR à laquelle se référait le recourant n’avait aucune conséquence sur la zone d’affectation, qui était agricole, ce que démontrait le fait que la restriction inscrite le 2 janvier 1990 au registre foncier n’avait pas été radiée suite au désassujettissement à la LDFR. S’agissant notamment des containers, soumis à la LCI, leur utilisation n’étant pas conforme à la zone, de sorte qu'ils ne pouvaient être autorisés et devaient être enlevés. Enfin, l’ordre d’évacuation était proportionné, au regard des intérêts publics prépondérants concernés. 14.         Par réplique du 11 février 2022, sous la plume de son conseil, le recourant a conclu à ce qu’il soit constaté que la procédure était devenue sans objet s'agissant de l’évacuation du bateau, des déchets de chantier et du « camion/container » et à l’annulation de la décision attaquée en tant qu’elle ordonnait l’évacuation du container, subsidiairement au renvoi de la cause à l’autorité intimée pour complément d’instruction et nouvelle décision - s’agissant dudit container -, toujours sous suite de frais et dépens.![endif]&gt;![if&gt; Il avait acquis la parcelle et le bâtiment qui s’y trouvait « dans le but explicite et admis de mener des activités de paysagisme mais également de constructions et clôtures métalliques » et avait besoin de faire perdurer toutes ses activités, afin que son entreprise pût survivre. Le bateau, les déchets de chantier et l’un des containers, qui était en réalité un camion, avaient désormais été évacués, comme le démontraient les photographies qu'il produisait. Cela étant, la présence du second container, qui lui permettait de stocker ses matériaux, devait être admise ou, à tout le moins, tolérée, eu égard au fait que cet élément était « intrinsèquement lié » à son activité de construction métallique, laquelle avait été expressément autorisée le 28 novembre 1974 dans le cadre de la DD 11______, puis confirmée dans son principe par l’APA 8______. Ce container n’étant pas situé sur la partie de la parcelle sise en surface d’assolement, sa présence n’avait aucune conséquence. Son intérêt au maintien de ce container l’emportait sur l’intérêt public à la préservation du sol, qui ne serait plus jamais utilisé pour l’agriculture, si ce n’était de manière purement hypothétique. Enfin, il sollicitait du DT qu’il « reconsidère » la décision attaquée, « si besoin après nouvelle instruction ». 15.         Par duplique du 15 mars 2022, le DT a persisté dans ses conclusions. ![endif]&gt;![if&gt; L’évacuation d’une partie des installations litigieuses démontrait que ces points - non contestés - de l’ordre de remise en état litigieux devaient être confirmés. L’application de la « clause du besoin », s’agissant du container dont le maintien était sollicité, nécessiterait une « instruction minutieuse et la consultation de plusieurs préaviseurs ». C’était précisément pour ce motif qu’il avait été indiqué au recourant, dans sa décision du 30 avril 2021, qu’il lui était loisible de déposer une requête en autorisation de construire dans un délai de nonante jours. Aucune demande n’ayant été déposée, il n’avait eu d’autre choix que d’ordonner l’évacuation de la construction illégale litigieuse, les intérêts publics liés à la préservation de la zone agricole étant prépondérants. EN DROIT 1.             Le tribunal connaît des recours dirigés, comme en l’espèce, contre les décisions prises par le DT en application de la loi sur les constructions et les installations diverses du 14 avril 1988 (LCI - L 5 05) et de ses dispositions d'application (art. 115 al. 2 et 116 al. 1 de la loi sur l’organisation judiciaire du 26 septembre 2010 - LOJ - E 2 05 ; art. 143 et 145 al. 1 LCI).![endif]&gt;![if&gt; 2.             Interjeté en temps utile et dans les formes prescrites devant la juridiction compétente par le destinataire de la décision querellée, le recours est recevable (art. 57, 60 et 62 à 65 LPA).![endif]&gt;![if&gt;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4.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 er avril 2021 consid. 3.1 ; 2C_946/2020 du 18 février 2021 consid. 3.1 ; 1C_355/2019 du 29 janvier 2020 consid. 3.1).![endif]&gt;![if&gt;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 5.             En l'occurrence, l'audition du recourant, qui ne dispose à d'un droit à un tel acte d'instruction et a amplement eu la possibilité de se déterminer par écrit dans le cadre de son recours, puis de sa réplique, n'apporterait pas d'éléments supplémentaires susceptibles d'influer sur l'issue du litige, le tribunal disposant d'un dossier complet lui permettant de statuer en connaissance de cause sur le litige. Il n'y sera dès lors pas procédé.![endif]&gt;![if&gt; 6.             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cité).![endif]&gt;![if&gt; 7.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1er février 2022 consid. 3a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(cf. not. ATA/85/2022 du 1 er février 2022 consid. 3a ; ATA/376/2016 du 3 mai 2016 consid. 2b et les références citées).![endif]&gt;![if&gt; 8.             En l'occurrence, il ressort des déclarations du recourant, lesquelles sont corroborées par les photographies qu'il a produites avec sa réplique, que le bateau, les déchets de chantier, ainsi que l’un des containers concernés par la décision attaquée ont été évacués de la parcelle litigieuse. Par conséquent, les conclusions prises par ce dernier dans le cadre de son recours tendant à l’annulation de cet ordre, en tant qu’il concernait ces installations, sont devenues sans objet. Seule reste ainsi litigieuse à ce stade la question de l’évacuation du dernier container encore présent sur la parcelle.![endif]&gt;![if&gt; 9.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LAT).![endif]&gt;![if&gt;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L'exigence de la relation fixe avec le sol n'exclut pas la prise en compte de constructions mobilières, non ancrées de manière durable au sol et qui sont, cas échéant, facilement démontables (cf. ATA/208/2021 du 23 février 2021 consid. 5). 10.         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ainsi que modifier, même partiellement, le volume, l’architecture, la couleur, l’implantation, la distribution ou la destination d’une construction ou d’une installation (let. b).![endif]&gt;![if&gt; 11.         Conformément à l'art. 129 let. e LCI, le DT peut notamment ordonner, à l'égard des constructions, des installations ou d'autres choses, la remise en état, la réparation, la modification, la suppression ou la démolition. Ces mesures peuvent être prises lorsque l'état d'une construction, d'une installation ou d'une autre chose n'est pas conforme aux prescriptions de la loi, des règlements qu'elle prévoit ou des autorisations délivrées en application de ces dispositions légales ou réglementaires (art. 130 LCI).![endif]&gt;![if&gt; 12.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4b).![endif]&gt;![if&gt; Dans ces conditions, en règle générale, les constructions érigées sans droit en zone agricole doivent être supprimées. A titre exceptionnel, l'autorité peut toutefois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 arrêt du Tribunal fédéral 1C_197/2021 du 12 novembre 2021 consid. 2.1.2 ; 1C_162/2019 du 25 novembre 2019 consid. 3.2 ; 1C_83/2018 du 22 juillet 2019 consid. 3.1 ; 1C_276/2016 du 2 juin 2016 consid. 3.1). Des constructions ou aménagements formellement non autorisés doivent en principe être démolis s'ils ne peuvent pas être légalisés a posteriori (cf. ATF 136 II 359 consid. 6 ; arrêts du Tribunal fédéral 1C_300/2016 du 16 mai 2017 consid. 4.1 et les arrêts cités ; 1C_276/2016 du 2 juin 2016 consid. 3.1). Dans ce cadre, il incombe aux cantons de veiller, par une organisation appropriée de la police des constructions, à ce que le droit fédéral soit observé sur leur territoire (arrêt du Tribunal fédéral 1C_276/2016 du 2 juin 2016 consid. 3.1 et la référence citée). Selon la jurisprudence, l'ordre de démolir une construction ou un ouvrage édifié sans permis et pour lequel une autorisation ne pouvait être accordée n'est en principe pas contraire au principe de la proportionnalité. Celui qui place l'autorité devant un fait accompli doit en effet s'attendre à ce que celle-ci se préoccupe plus de rétablir une situation conforme au droit que d'éviter les inconvénients qui en découlent pour lui (ATF 123 II 248 consid. 4a et les références ; arrêts du Tribunal fédéral 1C_197/2021 du 12 novembre 2021 consid. 2.1.2 ; 1C_60/2021 du 27 juillet 2021 consid. 3.1 ; 1C_569/2020 du 25 février 2021 consid. 2.4 ; 1C_341/2019 du 24 août 2020 consid. 6.1 ; 1C_114/2018 du 21 juin 2019 consid. 5.1.2 ; 1C_237/2018 du 29 janvier 2019 consid. 2.3 ; 1C_29/2016 du 18 janvier 2017 consid. 7.1).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cf. aussi arrêts 1C_197/2021 du 12 novembre 2021 consid. 2.1.3 ; 1C_60/2021 du 27 juillet 2021 consid. 3.1 ; 1C_50/2020 du 8 octobre 2020 consid. 8.1.2). 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les règles relatives à la délimitation de la zone à bâtir, respectivement à la prohibition de construire hors des zones à bâtir répondant à une préoccupation centrale de l'aménagement du territoire (art. 75 al. 1 Cst. ; 1 al. 1 LAT), l'intérêt public sur lequel elles sont fondées ne peut qu'être qualifié d'important, de sorte que celui-ci l'emporte sur l'intérêt privé purement financier du propriétaire à s'opposer au rétablissement d'une situation conforme au droit (cf. arrêts 1C_508/2018 du 17 juillet 2019 consid. 2.3 ; 1C_482/2017 du 26 février 2018 consid. 2.6.2 ; 1C_276/2016 du 2 juin 2017 consid. 3.3 ; 1C_29/2016 du 18 janvier 2017 consid. 7.2 ; 1C_544/2014 du 1 er avril 2015 consid. 4.2 ; 1C_136/2009 du 4 novembre 2009 ; cf. aussi ATA/874/2020 du 8 septembre 2020 consid. 8d, confirmé par arrêt du Tribunal fédéral 1C_569/2020 du 25 février 2021). 13.         En l’espèce, il n'est pas contesté que le container litigieux n’a été autorisé ni avant d'être installé par le recourant, ni a posteriori , aucune demande d’autorisation de construire n’ayant été déposée par le recourant en lien avec cet objet. En outre, en soi, l’ordre de remise en état querellé apparaît proportionné et propre à atteindre le but visé. Aucune mesure moins incisive ne permettrait en effet de préserver le principe de la séparation de l'espace bâti et non bâti, étant rappelé que la jurisprudence accorde une protection stricte de la zone agricole. Le fait que la partie de la parcelle sur laquelle se trouve ce container ne soit pas répertoriée comme une surface d’assolement et a été qualifiée de « non appropriée à l’agriculture » par la CFA par décision du ______ 2017 n'est à cet égard pas déterminant. De plus, il ne ressort pas du dossier que le coût de la remise en état des lieux, s'agissant de l’évacuation d’un élément qui, de l’aveu même du recourant, est posé à même le sol et entièrement amovible, engendrerait une difficulté particulière ou placerait ce dernier en situation de difficulté financière, ce qu'il n’allègue d’ailleurs pas. En tout état, selon la jurisprudence, le montant, même important, de cette remise en état ne serait pas décisive. L'intérêt privé du recourant à pouvoir, selon ses explications, utiliser ce container pour y entreposer du matériel utilisé à des fins professionnelles relève uniquement de sa convenance personnelle et ne saurait à l'évidence prévaloir sur l'intérêt public au rétablissement d'une situation conforme au droit (cf. ATA/874/2020 du 8 septembre 2020 consid. 8d), ce d'autant qu'il aurait eu la faculté, qui lui avait été offerte par l’autorité intimée, de déposer une demande d’autorisation de construire pour tenter l'obtenir la légalisation de cette installation, dans le cadre de laquelle son argumentation aurait pu être examinée le cas échéant. ![endif]&gt;![if&gt; Dans ces circonstances, force est de constater que le DT n'a pas mésusé de son pouvoir d'appréciation en requérant la suppression dudit container litigieux. Le tribunal, qui doit faire preuve de retenue et respecter la latitude de jugement conférée au DT, ne saurait revenir sur cette décision, sauf à statuer en opportunité, ce que la loi lui interdit de faire (art. 61 al. 2 LPA ; cf. aussi ATF 140 I 201 consid. 6.1 et les différents arrêts cités). Dite décision ne peut dès lors qu'être confirmée. 14.         Compte tenu de ce qui précède, le recours, mal fondé, sera rejeté. ![endif]&gt;![if&gt; 15.         Vu cette issue, un émolument de CH 900.- sera mis à la charge du recourant, qui succombe (art. 87 al. 1 LPA et 1 s. du règlement sur les frais, émoluments et indemnités en procédure administrative du 30 juillet 1986 - RFPA - E 5 10.03) et celui-ci n’a pas droit à une indemnité de procédure (art. 87 al. 2 LPA a contrario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