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A/3746/2023 vom 19. Februar 2024</w:t>
      </w:r>
    </w:p>
    <w:p>
      <w:r>
        <w:t>GE Cour de justice, 2024-02-19, FR</w:t>
      </w:r>
    </w:p>
    <w:p>
      <w:r>
        <w:rPr>
          <w:b/>
        </w:rPr>
        <w:t xml:space="preserve">Quelle: </w:t>
      </w:r>
      <w:r>
        <w:t>https://mcp.opencaselaw.ch/entscheid/ge_gerichte_A_3746_2023</w:t>
      </w:r>
    </w:p>
    <w:p>
      <w:r>
        <w:t>FR: GE_GERICHTE A/3746/2023 du 19 février 2024</w:t>
      </w:r>
    </w:p>
    <w:p>
      <w:r>
        <w:t>IT: GE_GERICHTE A/3746/2023 del 19 febbraio 2024</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en vigueur dès le 1er janvier 2011,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1.2</w:t>
      </w:r>
    </w:p>
    <w:p>
      <w:r>
        <w:t>À teneur de l'art. 1 al. 1 LAI, les dispositions de la LPGA s'appliquent à l'assurance-invalidité, à moins que la loi n'y déroge expressément.![endif]&gt;![if&gt;</w:t>
      </w:r>
    </w:p>
    <w:p>
      <w:r>
        <w:rPr>
          <w:b/>
        </w:rPr>
        <w:t>E. 1.3</w:t>
      </w:r>
    </w:p>
    <w:p>
      <w:r>
        <w:t>Le 1 er janvier 2021 est entrée en vigueur la modification du 21 juin 2019 de la LPGA. Dans la mesure où le recours a été interjeté postérieurement au 1 er janvier 2021, il est soumis au nouveau droit (cf. art. 82 a LPGA a contrario).![endif]&gt;![if&gt;</w:t>
      </w:r>
    </w:p>
    <w:p>
      <w:r>
        <w:rPr>
          <w:b/>
        </w:rPr>
        <w:t>E. 1.4</w:t>
      </w:r>
    </w:p>
    <w:p>
      <w:r>
        <w:t>Le 1 er janvier 2022, les modifications de la LAI du 19 juin 2020 (développement continu de l’AI ; RO 2021 705) ainsi que celles du 3 novembre 2021 du règlement sur l’assurance-invalidité du 17 janvier 1961 (RAI – RS 831.201 ; RO 2021 706) sont entrées en vigueur.![endif]&gt;![if&gt;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 er janvier 2022. Toutefois, la demande de prestations ayant été déposée le 17 mars 2020 et le délai d’attente d’une année venant à échéance le 26 septembre 2020, un éventuel droit à une rente d’invalidité naitrait antérieurement au 1 er janvier 2022 (cf. art. 28 al. 1 let. b et 29 al. 1 LAI), de sorte que les dispositions applicables seront citées dans leur teneur en vigueur jusqu’au 31 décembre 2021.</w:t>
      </w:r>
    </w:p>
    <w:p>
      <w:r>
        <w:rPr>
          <w:b/>
        </w:rPr>
        <w:t>E. 2</w:t>
      </w:r>
    </w:p>
    <w:p>
      <w:r>
        <w:t>Le délai de recours est de trente jours (art. 56 LPGA; art. 62 al. 1 de la de loi sur la procédure administrative du 12 septembre 1985 [LPA - E 5 10]). ![endif]&gt;![if&gt; Interjeté dans la forme et le délai prévus par la loi, le recours est recevable.</w:t>
      </w:r>
    </w:p>
    <w:p>
      <w:r>
        <w:rPr>
          <w:b/>
        </w:rPr>
        <w:t>E. 3</w:t>
      </w:r>
    </w:p>
    <w:p>
      <w:r>
        <w:t>![endif]&gt;![if&gt;</w:t>
      </w:r>
    </w:p>
    <w:p>
      <w:r>
        <w:rPr>
          <w:b/>
        </w:rPr>
        <w:t>E. 3.1</w:t>
      </w:r>
    </w:p>
    <w:p>
      <w:r>
        <w:t>En l’occurrence, il convient, préalablement, vu la connexité des deux recours (A/3746/2023 et A/3748/2023), de les joindre sous le numéro de cause A/3746/2023.![endif]&gt;![if&gt;</w:t>
      </w:r>
    </w:p>
    <w:p>
      <w:r>
        <w:rPr>
          <w:b/>
        </w:rPr>
        <w:t>E. 3.2</w:t>
      </w:r>
    </w:p>
    <w:p>
      <w:r>
        <w:t>Les recours portent sur le droit du recourant à une rente entière d’invalidité au‑delà du 31 mars 2021, étant relevé que la conclusion du recourant visant à ce que le montant de sa rente soit « établi » ne comporte aucun grief à l’égard du calcul de sa rente, de sorte qu’il n’y a pas lieu de considérer que le montant de ladite rente est contesté.![endif]&gt;![if&gt;</w:t>
      </w:r>
    </w:p>
    <w:p>
      <w:r>
        <w:rPr>
          <w:b/>
        </w:rPr>
        <w:t>E. 4</w:t>
      </w:r>
    </w:p>
    <w:p>
      <w:r>
        <w:t>![endif]&gt;![if&gt;</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4.2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entraine une incapacité de travail ayant des effets sur la capacité de gain de l’assuré (arrêt du Tribunal fédéral des assurances I 654/00 du 9 avril 2001 consid. 1).</w:t>
      </w:r>
    </w:p>
    <w:p>
      <w:r>
        <w:rPr>
          <w:b/>
        </w:rPr>
        <w:t>E. 5</w:t>
      </w:r>
    </w:p>
    <w:p>
      <w:r>
        <w:t>![endif]&gt;![if&gt;</w:t>
      </w:r>
    </w:p>
    <w:p>
      <w:r>
        <w:rPr>
          <w:b/>
        </w:rPr>
        <w:t>E. 5.1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5.2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5.3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4.3.1).![endif]&gt;![if&gt;</w:t>
      </w:r>
    </w:p>
    <w:p>
      <w:r>
        <w:rPr>
          <w:b/>
        </w:rPr>
        <w:t>E. 5.4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reconnaitre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7</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w:t>
      </w:r>
    </w:p>
    <w:p>
      <w:r>
        <w:rPr>
          <w:b/>
        </w:rPr>
        <w:t>E. 7.1</w:t>
      </w:r>
    </w:p>
    <w:p>
      <w:r>
        <w:t>S’agissant du revenu sans invalidité, lorsqu'il apparait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références). Le revenu effectivement réalisé doit être considéré comme nettement inférieur aux salaires habituels de la branche lorsqu'il est inférieur d'au moins 5% au salaire statistique usuel dans la branche (ATF 135 V 297 consid. 6.1.2 ; arrêt du Tribunal fédéral 8C_677/2021 du 31 janvier 2022 consid. 4.2.2).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 arrêt du Tribunal fédéral 9C_692/2010 du 31 janvier 2011 consid. 3.4).![endif]&gt;![if&gt;</w:t>
      </w:r>
    </w:p>
    <w:p>
      <w:r>
        <w:rPr>
          <w:b/>
        </w:rPr>
        <w:t>E. 7.2</w:t>
      </w:r>
    </w:p>
    <w:p>
      <w:r>
        <w:t>S’agissant du revenu d’invalide,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![endif]&gt;![if&gt;</w:t>
      </w:r>
    </w:p>
    <w:p>
      <w:r>
        <w:rPr>
          <w:b/>
        </w:rPr>
        <w:t>E. 7.2.1</w:t>
      </w:r>
    </w:p>
    <w:p>
      <w:r>
        <w:t>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apparaitre sa propre appréciation comme la mieux appropriée (ATF 126 V 75 consid. 6 ; 123 V 150 consid. 2 et les références ; arrêt du Tribunal fédéral 8C_337/2009 du 18 février 2010 consid. 7.5).![endif]&gt;![if&gt;</w:t>
      </w:r>
    </w:p>
    <w:p>
      <w:r>
        <w:rPr>
          <w:b/>
        </w:rPr>
        <w:t>E. 7.2.2</w:t>
      </w:r>
    </w:p>
    <w:p>
      <w:r>
        <w:t>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3.2).![endif]&gt;![if&gt;</w:t>
      </w:r>
    </w:p>
    <w:p>
      <w:r>
        <w:rPr>
          <w:b/>
        </w:rPr>
        <w:t>E. 7.2.3</w:t>
      </w:r>
    </w:p>
    <w:p>
      <w:r>
        <w:t>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C_280/2022 du 1 er mars 2023 consid. 7.2.3 et les références). Une unilatéralité de fait ou une restriction de la main dominante peut justifier un abattement compris entre 20% et 25% (arrêts du Tribunal fédéral 9C_363/2017 du 22 juin 2018 consid. 4.3 et 9C_396/2014 du 15 avril 2015 consid. 5.2).![endif]&gt;![if&gt;</w:t>
      </w:r>
    </w:p>
    <w:p>
      <w:r>
        <w:rPr>
          <w:b/>
        </w:rPr>
        <w:t>E. 7.2.4</w:t>
      </w:r>
    </w:p>
    <w:p>
      <w:r>
        <w:t>La prise en compte d'un abattement en raison des années de service ne se justifie guère dans le cadre du choix du niveau de compétences 1, l'influence de la durée de service sur le salaire étant peu importante dans cette catégorie d'emplois qui ne nécessitent ni formation ni expérience professionnelle spécifique ni par ailleurs une bonne maitrise d'une langue nationale (arrêt du Tribunal fédéral C_280/2022 du 1 er mars 2023 consid. 7.2.4 et les références).![endif]&gt;![if&gt;</w:t>
      </w:r>
    </w:p>
    <w:p>
      <w:r>
        <w:rPr>
          <w:b/>
        </w:rPr>
        <w:t>E. 8</w:t>
      </w:r>
    </w:p>
    <w:p>
      <w:r>
        <w:t>![endif]&gt;![if&gt;</w:t>
      </w:r>
    </w:p>
    <w:p>
      <w:r>
        <w:rPr>
          <w:b/>
        </w:rPr>
        <w:t>E. 8.1</w:t>
      </w:r>
    </w:p>
    <w:p>
      <w:r>
        <w:t>En l’occurrence, l’intimé a considéré que le recourant était totalement incapable de travailler du 26 septembre 2019 au 31 décembre 2020 et capable de travailler à un taux de 50%, dans une activité adaptée à ses limitations fonctionnelles, dès le 1 er janvier 2021 et fixé son degré d’invalidité, dès cette date, à 49%.![endif]&gt;![if&gt;</w:t>
      </w:r>
    </w:p>
    <w:p>
      <w:r>
        <w:rPr>
          <w:b/>
        </w:rPr>
        <w:t>E. 8.2</w:t>
      </w:r>
    </w:p>
    <w:p>
      <w:r>
        <w:t>Le recourant fait valoir une incapacité de travail totale au-delà du 31 décembre 2020, attestée par les Drs H______ et K______. Il conteste la valeur probante de l’expertise du SMEX SA, en relevant, d’une part, qu’elle aurait dû comprendre un volet neurologique et non pas rhumatologique et, d’autre part, que les conclusions en matière psychiatrique ne peuvent être suivies.![endif]&gt;![if&gt;</w:t>
      </w:r>
    </w:p>
    <w:p>
      <w:r>
        <w:rPr>
          <w:b/>
        </w:rPr>
        <w:t>E. 9</w:t>
      </w:r>
    </w:p>
    <w:p>
      <w:r>
        <w:t>![endif]&gt;![if&gt;</w:t>
      </w:r>
    </w:p>
    <w:p>
      <w:r>
        <w:rPr>
          <w:b/>
        </w:rPr>
        <w:t>E. 9.1</w:t>
      </w:r>
    </w:p>
    <w:p>
      <w:r>
        <w:t>Du point de vue somatique, s’agissant de l’évaluation de la capacité de travail du recourant, l’intimé s’est écarté des conclusions de l’expertise du SMEX SA, et a retenu, en se fondant sur le rapport du neurologue traitant, la Dre D______, une capacité de travail limitée à un taux de 50% dans une activité adaptée aux limitations fonctionnelles du recourant, soit alternance des positions assise et debout, limitation de port de charges jusqu’à 5 kg, éviter toute activité qui demande une position agenouillée ou accroupie prolongée et toutes les activités qui demandent une sécurité augmentée sur des échafaudages et des échelles, éviter les activités qui demandent une posture forcée non ergonomique surchargeant le rachis dans sa totalité, capacité limitée pour toute activité qui nécessite une utilisation bimanuelle et, notamment, la manipulation des petits objets ainsi que les activités de surveillance.![endif]&gt;![if&gt; La critique du recourant quant à l’absence d’évaluation neurologique par le SMEX SA n’est ainsi pas pertinente, l’intimé ayant finalement suivi l’appréciation effectuée par la Dre D______, laquelle est neurologue (avis du 20 décembre 2022). Dans son avis du 31 octobre 2023, la Dre D______ a confirmé son appréciation précédente du 13 octobre 2022, soit la capacité du recourant à exercer une activité à temps partiel, dans le respect des limitations fonctionnelles déjà évoquées. Elle relève, au surplus, que vu la contestation par le recourant de toute capacité de travail, une évaluation cognitive pourrait aider à évaluer l’exigibilité d’une activité adaptée. Se référant à ce rapport, le recourant estime qu’une investigation médicale, par le biais d’une évaluation cognitive, se justifie. Or, cette dernière appréciation de la Dre D______, qui semble plus être fondée sur la prise en compte des plaintes du recourant que sur des éléments objectifs, n’est pas à même de mettre en doute les premières conclusions de cette médecin quant à une capacité de travail de 50% du recourant dans une activité adaptée, ce d’autant que, du point de vue neuropsychologique, l’expert psychiatre du SMEX SA, dont l’évaluation est probante (cf. consid. 9.2 infra), a contesté, lors de son examen clinique, l’absence de baisse de l’attention ou de la concentration (expertise du SMEX SA p. 18) et a conclu à l’absence de ralentissement psychomoteur, de trouble cognitif, de concentration, d’attention ou de mémoire (expertise du SMEX SA p. 19). Hormis la plainte « d’avoir du mal avec certaines dates » (expertise du SMEX SA p. 15), le recourant n’a pas évoqué non plus de plaintes qui justifieraient une investigation neuropsychologique. Dans ces conditions, l’appréciation de la capacité de travail du recourant, de 50% dès le 1 er janvier 2021, dans une activité adaptée à ses limitations fonctionnelles, ne peut qu’être confirmée. Enfin, l’avis du Dr K______ du 19 octobre 2023 ne permet pas de retenir une incapacité de travail totale du recourant, du point de vue rhumatologique, dès lors qu’il évoque des limitations du côté gauche du recourant (hémicorps gauche, genou gauche, épaule gauche) entrainant la nécessité de changer de position et un périmètre de marche limité. Or, comme relevé par le SMR dans son dernier avis du 28 novembre 2023, les limitations évoquées par le Dr K______ ont déjà été prises en compte dans celles retenues, étant relevé que même si le périmètre restreint de marche était ajouté, il n’exclurait pas l’exigibilité d’une activité sédentaire, avec alternance des positions.</w:t>
      </w:r>
    </w:p>
    <w:p>
      <w:r>
        <w:rPr>
          <w:b/>
        </w:rPr>
        <w:t>E. 9.2</w:t>
      </w:r>
    </w:p>
    <w:p>
      <w:r>
        <w:t>Du point de vue psychiatrique, l’intimé a suivi les conclusions de l’expertise du SMEX SA. À cet égard, l’expertise du Dr J______, fondée sur les pièces du dossier, comprenant une anamnèse, les plaintes du recourant, la description d’une journée-type, un examen clinique, une analyse de la cohérence et des conclusions motivées, répond aux critères jurisprudentiels précités pour qu’il lui soit reconnu une pleine valeur probante.![endif]&gt;![if&gt; En particulier, l’expert J______ a exposé de façon convaincante en quoi il ne pouvait suivre le diagnostic d’épisode dépressif récurrent de moyen à sévère posé par le psychiatre-traitant, en soulignant que le recourant avait cessé la prise de son traitement antidépresseur depuis plusieurs mois et ne prenait pas régulièrement, au vu du dosage sanguin, les benzodiazépines et somnifères (expertise du SMEX SA pp. 20-21) ; il a retenu un trouble anxieux et dépressif mixte non incapacitant. Le recourant se prévaut de l’avis de sa psychiatre-traitante. Or, le rapport de la Dre H______, du 24 octobre 2023, bien que postérieur à l’expertise du SMEX SA, ne se prononce pas sur l’analyse effectuée par le Dr J______ et ne répond pas aux critiques de celui-ci. En particulier, la psychiatre-traitante n’explique pas la divergence entre la description d’une journée-type du recourant (selon laquelle celui-ci sort deux à trois heures boire des cafés avec des amis, se prépare à manger, regarde la télévision, lit le journal, effectue quelques tâches ménagères, écoute de la musique - expertise du SMEX SA pp. 17 et 19) et les limitations qu’elle constate (notamment manque d’élan vital, aucune initiative, aboulie, adynamie, se sent abattu, fatigue, retrait social important). La Dre H______ ne se prononce pas non plus clairement sur le traitement suivi, le recourant ayant expliqué qu’il avait cessé son traitement médicamenteux sept à huit mois avant l’entretien du 11 mai 2022, alors que la Dre H______ mentionne que le recourant bénéficie d’un traitement « pharmaco » de psychotropes depuis juin 2020. Par ailleurs, la Dre H______ estime que tous les médecins du recourant sont d’accord pour dire que celui-ci n’est plus capable de travailler, alors que la Dre D______ (que la Dre H______ cite comme médecin-traitant au début de son avis du 24 octobre 2023) estime, au contraire, que le recourant est capable de travailler partiellement. Enfin, dans ses conclusions, la Dre H______ évoque tant des limitations somatiques que psychiatriques pour étayer une incapacité de travail totale du recourant (elle indique « à cause de ses différentes maladies, tous ses problèmes au niveau de sa santé »), de sorte qu’il n’est pas possible de déterminer l’impact des seules limitations psychiques évoquées par la Dre H______ sur la capacité de travail du recourant. Pour ces raisons, l’avis de la Dre H______, du 24 octobre 2023, n’est pas à même de mettre en doute les conclusions de l’expertise du Dr J______.</w:t>
      </w:r>
    </w:p>
    <w:p>
      <w:r>
        <w:rPr>
          <w:b/>
        </w:rPr>
        <w:t>E. 10</w:t>
      </w:r>
    </w:p>
    <w:p>
      <w:r>
        <w:t>Au demeurant, il convient de retenir, dans le même sens que l’intimé, que le recourant est totalement incapable de travailler du 26 septembre 2019 au 31 décembre 2020 et capable de travailler à 50% dès le 1 er janvier 2021 dans une activité adaptée à ses limitations fonctionnelles.![endif]&gt;![if&gt;</w:t>
      </w:r>
    </w:p>
    <w:p>
      <w:r>
        <w:rPr>
          <w:b/>
        </w:rPr>
        <w:t>E. 10.1</w:t>
      </w:r>
    </w:p>
    <w:p>
      <w:r>
        <w:t>L’octroi d’une rente entière d’invalidité du 1 er septembre 2020 au 31 mars 2021 peut ainsi être confirmé.![endif]&gt;![if&gt;</w:t>
      </w:r>
    </w:p>
    <w:p>
      <w:r>
        <w:rPr>
          <w:b/>
        </w:rPr>
        <w:t>E. 10.2</w:t>
      </w:r>
    </w:p>
    <w:p>
      <w:r>
        <w:t>S’agissant de la période débutant le 1 er avril 2021, l’intimé a fixé le degré d’invalidité à 49,02%, sur la base d’un revenu sans invalidité rehaussé, en application de la mise en parallèle des revenus et d’un revenu d’invalide fondé sur l’ESS 2020, TA1, total, homme, niveau de compétence 1, pour 41,7 heures de travail hebdomadaire, avec une déduction de 10% pour activité à temps partiel. Les revenus sans et avec invalidité ne sont pas contestés par le recourant et peuvent être confirmés.![endif]&gt;![if&gt; En revanche, l’abattement appliqué par l’intimé, de 10%, sur le revenu d’invalide, apparait insuffisant au vu des importantes limitations fonctionnelles retenues par le SMR, à la suite de la Dre D______. En effet, l’intimé a appliqué un abattement de 10% en raison d’une activité à taux partiel seule possible. Or, il n’a pas suffisamment tenu compte des importantes limitations fonctionnelles du recourant, lesquelles ne lui permettent pas d’effectuer une activité nécessitant une utilisation bimanuelle, ni la manipulation de petits objets ou encore même des activités de surveillance. Au vu, en particulier, de la jurisprudence précitée, selon laquelle une activité monomanuelle peut justifier un abattement jusqu’à un taux de 25%, il se justifie d’augmenter l’abattement à un taux de 15%, de sorte que le revenu d’invalide, en 2021, est de CHF 27'652.- au lieu de CHF 29'395.-.</w:t>
      </w:r>
    </w:p>
    <w:p>
      <w:r>
        <w:rPr>
          <w:b/>
        </w:rPr>
        <w:t>E. 10.3</w:t>
      </w:r>
    </w:p>
    <w:p>
      <w:r>
        <w:t>En conséquence, le degré d’invalidité est le suivant :![endif]&gt;![if&gt; 57'655 - 27’762 = 51,8% = 52% 57’655 Un degré d’invalidité de 52% ouvre le droit à une demi-rente d’invalidité.</w:t>
      </w:r>
    </w:p>
    <w:p>
      <w:r>
        <w:rPr>
          <w:b/>
        </w:rPr>
        <w:t>E. 11</w:t>
      </w:r>
    </w:p>
    <w:p>
      <w:r>
        <w:t>Partant, les recours seront partiellement admis, les décisions litigieuses réformées dans le sens que le recourant a droit à une demi-rente d’invalidité dès le 1 er avril 2021.![endif]&gt;![if&gt;</w:t>
      </w:r>
    </w:p>
    <w:p>
      <w:r>
        <w:rPr>
          <w:b/>
        </w:rPr>
        <w:t>E. 12</w:t>
      </w:r>
    </w:p>
    <w:p>
      <w:r>
        <w:t>Le recourant obtenant partiellement gain de cause, une indemnité de CHF 2'000.- lui sera accordée à titre de participation à ses frais et dépens (art. 61 let. g LPGA ; art. 6 du règlement sur les frais, émolument et indemnités en matière administrative du 30 juillet 1986 [RFPA – E 5 10.03]).![endif]&gt;![if&gt; Pour le surplus,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