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A/3740/2005 vom 23. Juni 2005</w:t>
      </w:r>
    </w:p>
    <w:p>
      <w:r>
        <w:t>GE Cour de justice, 2005-06-23, FR</w:t>
      </w:r>
    </w:p>
    <w:p>
      <w:r>
        <w:rPr>
          <w:b/>
        </w:rPr>
        <w:t xml:space="preserve">Quelle: </w:t>
      </w:r>
      <w:r>
        <w:t>https://mcp.opencaselaw.ch/entscheid/ge_gerichte_A_3740_2005</w:t>
      </w:r>
    </w:p>
    <w:p>
      <w:r>
        <w:t>FR: GE_GERICHTE A/3740/2005 du 23 juin 2005</w:t>
      </w:r>
    </w:p>
    <w:p>
      <w:r>
        <w:t>IT: GE_GERICHTE A/3740/2005 del 23 giugno 2005</w:t>
      </w:r>
    </w:p>
    <w:p>
      <w:pPr>
        <w:pStyle w:val="Heading2"/>
      </w:pPr>
      <w:r>
        <w:t>Erwägungen</w:t>
      </w:r>
    </w:p>
    <w:p>
      <w:r>
        <w:rPr>
          <w:b/>
        </w:rPr>
        <w:t>E. 1</w:t>
      </w:r>
    </w:p>
    <w:p>
      <w:r>
        <w:t>Par courrier du 18 octobre 2005, mis à la poste le lendemain, Monsieur C__________ a recouru auprès du Tribunal administratif contre une décision sur réclamation rendue le 26 septembre 2005 par la direction du logement (ci-après : DL), maintenant sa décision du 23 juin 2005 lui refusant une allocation de logement. Il demandait un délai pour « déposer [ses] arguments », car il devait encore évaluer sa situation avec son assistant social de référence auprès de l’Hospice général.</w:t>
      </w:r>
    </w:p>
    <w:p>
      <w:r>
        <w:rPr>
          <w:b/>
        </w:rPr>
        <w:t>E. 2</w:t>
      </w:r>
    </w:p>
    <w:p>
      <w:r>
        <w:t>Le 21 octobre 2005, par courrier simple et lettre signature, le tribunal de céans a imparti à M. C __________ un délai au 27 octobre 2005 à midi, pour satisfaire, à peine de recevabilité, aux exigences de forme et de contenu d’un recours.</w:t>
      </w:r>
    </w:p>
    <w:p>
      <w:r>
        <w:rPr>
          <w:b/>
        </w:rPr>
        <w:t>E. 3</w:t>
      </w:r>
    </w:p>
    <w:p>
      <w:r>
        <w:t>Aucune suite n’a été donnée à ce courrier. EN DROIT 1. Selon l’article 65 alinéa 1 de la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ces dispositions,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certitudes les fins du recourant ( ATA/172/2001 du 13 mars 2001 ; G. du 27 septembre 1989 ; Société T. du 13 avril 1988). Par ailleurs, l’absence de conclusions au sens de ce qui précède ne peut être réparée que dans le délai de recours. Hors ce délai, le fait d’être autorisé à compléter une écriture de recours (art. 65 al. 3 LPA) ne permet pas de suppléer au défaut de conclusions (SJ 1997 p. 42). Quant à l’exigence de motivation de l’article 65 alinéa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Il ne suffit par exemple pas d’affirmer qu’une amende administrative est injustifiée sans expliquer la raison de ce grief (ATA M. du 15 février 1994), ou de reprocher simplement à une décision de constituer un excès du pouvoir d’appréciation de l’autorité qui l’a rendue (ATA F. du 8 septembre 1992). En principe, la reprise pure et simple des arguments soumis à l’autorité précédente ne constitue pas – de même que le renvoi global aux écritures antérieures – une motivation topique suffisante (ATF 118 Ib 134 ). En l’espèce, l’acte de recours ne contient ni conclusions ni motivation, ni moyens de preuve. Le recourant n’a pas donné suite au courrier l’invitant à compléter ses écritures. Partant, le recours ne peut aujourd’hui qu’être déclaré irrecevable. 2. Au vu de cette issue, un émolument de CHF 200.-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