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A/3737/2014 vom 17. März 2015</w:t>
      </w:r>
    </w:p>
    <w:p>
      <w:r>
        <w:t>GE Cour de justice, 2015-03-17, FR</w:t>
      </w:r>
    </w:p>
    <w:p>
      <w:r>
        <w:rPr>
          <w:b/>
        </w:rPr>
        <w:t xml:space="preserve">Quelle: </w:t>
      </w:r>
      <w:r>
        <w:t>https://mcp.opencaselaw.ch/entscheid/ge_gerichte_A_3737_2014</w:t>
      </w:r>
    </w:p>
    <w:p>
      <w:r>
        <w:t>FR: GE_GERICHTE A/3737/2014 du 17 mars 2015</w:t>
      </w:r>
    </w:p>
    <w:p>
      <w:r>
        <w:t>IT: GE_GERICHTE A/3737/2014 del 17 marzo 2015</w:t>
      </w:r>
    </w:p>
    <w:p>
      <w:pPr>
        <w:pStyle w:val="Heading2"/>
      </w:pPr>
      <w:r>
        <w:t>Volltext</w:t>
      </w:r>
    </w:p>
    <w:p>
      <w:r>
        <w:t>Genève Cour de justice (Cour de droit public) Chambre des assurances sociales 17.03.2015 A/3737/2014</w:t>
      </w:r>
    </w:p>
    <w:p>
      <w:r>
        <w:t>A/3737/2014 ATAS/207/2015 du 17.03.2015 ( AVS ) , REJETE En fait En droit RÉPUBLIQUE ET CANTON DE GENÈVE POUVOIR JUDICIAIRE A/3737/2014 ATAS/207/2015 COUR DE JUSTICE Chambre des assurances sociales Arrêt du 17 mars 2015 1 ère Chambre En la cause Madame A______, domiciliée à BERNEX recourante contre CAISSE CANTONALE GENEVOISE DE COMPENSATION, Service juridique, sise rue des Gares 12, GENÈVE intimée EN FAIT 1.        La société B______ Sàrl (ci-après la société), ayant pour but toute activité en Europe dans le domaine de l’assurance, des courriers rapides, des voyages ainsi que de l’hôtellerie et la restauration, a été constituée à Genève le 16 novembre 1998. Messieurs C______ et D______ en ont été les associés-gérants avec signature individuelle, de la création de la société jusqu’en mars 2002, date à laquelle Madame A______ est à son tour devenue associée-gérante avec signature individuelle et Monsieur E______, associé sans signature.![endif]&gt;![if&gt; 2.        Dès son affiliation en qualité d’employeur auprès de la caisse cantonale genevoise de compensation (ci-après la caisse) soit en novembre 2002, la société a montré des difficultés dans le paiement de ses factures. La caisse a ainsi adressé à la société des rappels, sommations et poursuites. Par courriers des 25 avril 2007 et 7 octobre 2008, dont copie a été directement adressée à l’intéressée, la caisse a accordé à la société un ultime délai pour qu'elle s’acquitte de la part pénale des cotisations dues, à défaut de quoi elle dénoncerait le cas au Procureur général. L'intéressée s’est vu notifier un commandement de payer en date du 29 février 2012, commandement de payer auquel elle n’a pas fait opposition.![endif]&gt;![if&gt; Deux actes de défauts de biens ont finalement été délivrés à la caisse le 28 août 2012 pour les cotisations paritaires AVS/AI 2007 et 2008. 3.        Par décision du Tribunal de première instance du 21 janvier 2013, la société a été dissoute conformément à l’art. 731b CO et sa liquidation ordonnée selon les dispositions applicables à la faillite. La procédure de faillite a été suspendue faute d’actifs le 28 octobre 2013.![endif]&gt;![if&gt; 4.        Par décision du 23 juillet 2014, la caisse a réclamé à l’intéressée le paiement de la somme de CHF 5'070.30, représentant les cotisations paritaires AVS/AI/AC/AF et AMat dues par la société pour les années 2007 et 2008 et restées impayées, ainsi que les frais administratifs, les taxes de sommations, les intérêts moratoires et les frais de poursuites.![endif]&gt;![if&gt; 5.        L’intéressée a formé opposition le 22 août 2014. Elle a expliqué que![endif]&gt;![if&gt; « le 14 mars 2002 mon beau-frère Monsieur C______ est venu vers moi et m’a dit qu’il voulait que je signe des documents afin de créer la société B______ Sàrl et m’a affirmé que je n’aurais rien à faire avec cette société, que lui allait s’occuper de la gestion de celle-ci, du paiement des salaires des employés et des impôts. Si je ne signais pas il ne pouvait pas créer cette société raison pour laquelle j’ai accepté. Étant donné que cela ne faisait pas longtemps que j’habitais en Suisse je n’avais aucune connaissance des implications que cette signature pouvait avoir pour le futur et de plus mes connaissances linguistiques en français étaient très basiques et je ne comprenais pas les documents qui m’avaient été présentés. J’ai été en quelque sorte prise au piège ! » 6.        Par décision du 13 novembre 2014, la caisse a rejeté l’opposition, considérant que la responsabilité de l’intéressée était engagée en sa qualité d’associée-gérante.![endif]&gt;![if&gt; 7.        L’intéressée a interjeté recours le 5 décembre 2014 contre ladite décision. Elle dit trouver « injuste le fait que j’ai seulement signé des documents en 2002 et que maintenant en 2014 on me demande de rembourser des factures dont je n’avais même pas connaissance. »![endif]&gt;![if&gt; 8.        Dans sa réponse du 13 janvier 2015, la caisse a conclu au rejet du recours, rappelant pour le surplus que la situation financière de la recourante sera le cas échéant examinée dans le cadre d’une procédure ultérieure.![endif]&gt;![if&gt; 9.        La chambre de céans a ordonné la comparution personnelle des parties le 3 mars 2015.![endif]&gt;![if&gt; L’intéressée a déclaré que : "Mon beau-frère, Monsieur C______, m’avait demandé de signer des documents pour la société B______ Sàrl. Je ne comprenais rien à l’affaire. A l’époque, je ne parlais pas encore bien français. Il m’avait assuré qu’il s’occupait de tout, que c’est lui qui gérait la société. Au début, j’ai signé des documents, plus après. Vous me montrez l’attestation des salaires pour 2008. Ce n’est pas moi qui ai signé. L’attestation 2007 non plus. Je ne connais pas Monsieur F______ mentionné comme seul salarié de la société en 2007 et en 2008. Je ne sais pas pourquoi mon beau-frère avait besoin de ma signature. Je ne sais même pas de quoi s’occupait la société. Au début, je n’avais pas compris que ma responsabilité pouvait être engagée du fait que j’étais inscrite dans un registre officiel. Je reconnais n’avoir pas posé beaucoup de questions. Je n’avais pas connaissance des factures. Ce n’est qu’après le décès de mon mari, en 2012, que j’ai compris, parce que je devais alors m’occuper seule des tâches administratives. Je n’ai pas reçu, à mon souvenir, de menace de dépôt de plainte pénale de la part de la CCGC, en 2007. J’explique à cet égard que mes beaux-frères vivaient avec nous. En 2012, je suis allée à la Mairie de Bernex pour que l’on m’explique tout ce que je devais faire au niveau administratif. J’étais perdue, parce que je ne m’en étais jamais occupé. Je ne me souviens pas que nous ayons parlé de la société en particulier. J’ai appelé mon beau-frère dès que j’ai reçu la décision de la CCGC. Il m’a dit qu’il ne fallait pas payer, parce que la société n’existait plus. " Sur ce, la cause a été gardée à juger.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litige porte sur le droit de la caisse de réclamer à l'intéressée la réparation du dommage subi en raison du non-paiement des cotisations paritaires AVS/AI/APG/AC, ainsi que des cotisations AMat et AF, dues par la société pour les années 2007 et 2008.![endif]&gt;![if&gt; 5.        a) A teneur de l’art. 52 LAVS en vigueur dès le 1 er janvier 2003 (introduit par le ch. 7 de l'annexe à la LPGA), l’employeur qui, intentionnellement ou par négligence grave, n’observe pas des prescriptions et cause ainsi un dommage à l’assurance, est tenu à réparation (al. 1). ![endif]&gt;![if&gt;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 8016 et 8017). c) En l’espèce, le dommage subi par la caisse consiste en la perte de la créance de cotisations, frais et intérêts compris, due pour les années 2007 et 2008 par la société faillie, soit la somme de CHF 5'070.30. Ce montant n’est pas contesté. 6.        A titre liminaire, il sied d’examiner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 suspension de la liquidation de la faillite est intervenue le 28 octobre 2013. En lui notifiant une demande en réparation du dommage en date du 23 juillet 2014, la caisse a dès lors agi en temps utile, dans les délais de deux ans et de cinq ans prévus à l’art. 52 al. 3 LAVS. 7.        Il convient de déterminer si l’intéressée peut être assimilée à un « employeur » tenu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ATF non publié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(ATF non publié 9C_859/2007 , consid. 2.4 et les références citées). d) En l’espèce, l’intéressée était inscrite au registre du commerce en tant qu’associée-gérante, avec signature individuelle, du 14 mars 2002 à la dissolution de la société. Elle était, partant, indiscutablement, un organe de la société faillie, de sorte que sa responsabilité peut être engagée au sens de l’art. 52 LAVS. 8.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 consid. 3b). Sa négligence peut être qualifiée de grave sous l'angle de l'art. 52 LAVS (ATF 112 V 1 ,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(ATFA non publié H 95/05 du 10 janvier 2007, consid. 4). 9.        En l’espèce, l’intéressée considère ne pas avoir à répondre des impayés de la société pour les années 2007 et 2008. Elle conteste avoir commis une faute ou une négligence grave au sens de l’art. 52 LAVS, puisque c’est son beau-frère qui gérait la société. Elle a expliqué que lorsque son beau-frère lui avait demandé de signer des documents pour la société, elle n'y avait rien compris. Il lui avait quoiqu’il en soit assuré qu’il s’occuperait de tout, de la gestion de la société, du paiement des salaires et des impôts. Elle affirme ainsi avoir été « prise au piège ».![endif]&gt;![if&gt; Entendue par la chambre de céans, elle a confirmé qu’elle ne savait même pas de quoi s’occupait la société, qu’elle n’avait pas compris que sa responsabilité pouvait être engagée du seul fait qu’elle était inscrite au registre du commerce, qu’elle n’avait pas eu connaissance des courriers de la caisse, même de ceux qui lui avaient été directement envoyés à son adresse privée. Elle a ajouté qu’elle avait pris contact avec son beau-frère dès réception de la décision de la caisse et que celui-ci lui avait recommandé de ne pas payer, du fait que la société n’existait plus. 10.    Force est de constater que l’intéressée n’a pas assumé le mandat d'associée-gérante dans les faits, ne s’est préoccupée de la gestion de la société en aucune façon, accordant toute sa confiance à son beau-frère. Elle a été inscrite au registre du commerce en mars 2002 alors que la société commençait à rencontrer des difficultés de paiements. Elle ne s’est inquiétée de rien, alors que du courrier lui était adressé à son domicile. En 2012, elle a reçu et signé un commandement de payer. Elle ne pouvait alors manquer de comprendre que des factures étaient restées impayées. Elle n'a cependant pas demandé d’explication à son beau-frère.![endif]&gt;![if&gt; L’argumentation de l'intéressée revient à soutenir que son rôle se serait limité à celui d’une « femme de paille ». C’est précisément en cela que réside sa faute, puisque celui qui se déclare prêt à assumer un mandat d'administrateur, tout en sachant qu'il ne pourra pas le remplir consciencieusement, viole son obligation de diligence (ATF 122 III 200 consid. 3b; RDAT 2003, II, p. 243 et sv. consid. 2.4). Il y a lieu de rappeler à cet égard que lorsque l'administrateur revêt cette qualité sans en assumer la fonction dans les faits, il méconnait l'une des attributions intransmissibles et inaliénables que lui confère l'art. 716a al. 1 CO, soit l'exercice de la haute surveillance sur les personnes chargées de la gestion, pour s'assurer notamment que celles-ci observent la loi, les règlements et les instructions données. Certes son beau-frère lui a-t-il dissimulé la véritable raison pour laquelle il sollicitait de sa part son inscription au registre du commerce, il n'en reste pas moins que l’intéressée ne pouvait manquer de comprendre qu'une inscription au registre du commerce constituait une démarche officielle et qu'elle ne pouvait l'accepter sans autre, surtout si elle n'y comprenait rien. Elle n'a posé aucune question lorsqu'elle a reçu des courriers de la caisse la menaçant du dépôt d'une plainte pénale. Elle ne s'est pas plus inquiétée lorsqu'elle a signé un commandement de payer en 2012. Elle n'a jamais pris contact avec la caisse. Elle n'a à aucun moment songé à démissionner. Eu égard à la jurisprudence claire du Tribunal fédéral, la chambre de céans considère, au vu de ce qui précède, que l'intéressée a violé son devoir de diligence et qu’il y a un lien de causalité entre son comportement et le dommage subi par la caisse. Il y a dès lors lieu d’admettre que son inaction constitue une négligence grave au sens de l'art. 52 LAVS, de sorte que le recours, mal fondé, est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