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A/3725/2021 vom 11. Juli 2022</w:t>
      </w:r>
    </w:p>
    <w:p>
      <w:r>
        <w:t>GE Cour de justice, 2022-07-11, FR</w:t>
      </w:r>
    </w:p>
    <w:p>
      <w:r>
        <w:rPr>
          <w:b/>
        </w:rPr>
        <w:t xml:space="preserve">Quelle: </w:t>
      </w:r>
      <w:r>
        <w:t>https://mcp.opencaselaw.ch/entscheid/ge_gerichte_A_3725_2021</w:t>
      </w:r>
    </w:p>
    <w:p>
      <w:r>
        <w:t>FR: GE_GERICHTE A/3725/2021 du 11 juillet 2022</w:t>
      </w:r>
    </w:p>
    <w:p>
      <w:r>
        <w:t>IT: GE_GERICHTE A/3725/2021 del 11 luglio 2022</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![endif]&gt;![if&gt; La chambre de céans est ainsi compétente pour connaître des deux recours interjetés par le recourant ( ATAS/1208/2020 du 10 décembre 2020).</w:t>
      </w:r>
    </w:p>
    <w:p>
      <w:r>
        <w:rPr>
          <w:b/>
        </w:rPr>
        <w:t>E. 2</w:t>
      </w:r>
    </w:p>
    <w:p>
      <w:r>
        <w:t>Le délai de recours est de trente jours (art. 56 LPGA ; art. 62 al. 1 de la loi sur la procédure administrative du 12 septembre 1985 [LPA - E 5 10]). ![endif]&gt;![if&gt; Interjetés dans la forme et le délai prévus par la loi, les recours sont recevables.</w:t>
      </w:r>
    </w:p>
    <w:p>
      <w:r>
        <w:rPr>
          <w:b/>
        </w:rPr>
        <w:t>E. 3</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En l’espèce, il se justifie de joindre les deux causes, qui portent sur la même problématique.</w:t>
      </w:r>
    </w:p>
    <w:p>
      <w:r>
        <w:rPr>
          <w:b/>
        </w:rPr>
        <w:t>E. 4</w:t>
      </w:r>
    </w:p>
    <w:p>
      <w:r>
        <w:t>Le litige porte sur le bien-fondé des décisions de l’intimée niant au recourant le droit aux APG-Covid pour les mois de juillet à octobre 2021.![endif]&gt;![if&gt;</w:t>
      </w:r>
    </w:p>
    <w:p>
      <w:r>
        <w:rPr>
          <w:b/>
        </w:rPr>
        <w:t>E. 5</w:t>
      </w:r>
    </w:p>
    <w:p>
      <w:r>
        <w:t>.2 Le Conseil fédéral a adopté, le 20 mars 2020, l’ordonnance sur les mesures en cas de perte de gain en lien avec le coronavirus (ordonnance sur les pertes de gain COVID-19 - RS 830.31), laquelle est entrée en vigueur rétroactivement au 17 mars 2020. Selon l’art. 2 al. 3 de cette ordonnance, pour autant qu’elles remplissent la condition prévue à l’al. 1 bis let. c (à savoir qu’elles soient assurées obligatoirement au sens de la loi fédérale sur l’assurance-vieillesse et survivants du 20 décembre 1946 [LAVS - RS 831.10]), les personnes qui exercent une activité lucrative indépendante au sens de l’art. 12 LPGA ont droit à l'allocation si elles doivent interrompre leur activité lucrative en raison de mesures de lutte contre l’épidémie de COVID-19 ordonnées par une autorité (let. a) et si elles subissent une perte de gain ou une perte de salaire (let. b). En vertu de l’art. 5 de l’ordonnance, l’indemnité journalière est égale à 80 %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 ter ).</w:t>
      </w:r>
    </w:p>
    <w:p>
      <w:r>
        <w:rPr>
          <w:b/>
        </w:rPr>
        <w:t>E. 5.1</w:t>
      </w:r>
    </w:p>
    <w:p>
      <w:r>
        <w:t>Pour lutter contre l'épidémie de Coronavirus qui a atteint la Suisse début 2020, le Conseil fédéral a pris une série de mesures urgentes. Ainsi, le 28 février 2020, il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le Conseil fédéral a notamment, le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cinq personnes ont été interdits dans les lieux publics (art. 7c al. 1). Dans le cas d'un rassemblement de cinq personnes au plus, celles-ci devaient désormais se tenir à au moins 2 m les unes des autres (art. 7c al. 2). Cette situation a duré plusieurs semaines. À compter du 27 avril 2020, le Conseil fédéral a progressivement assoupli les mesures restrictives qu'il avait imposées en mars 2020. À compter de cette date, certains établissements, tels que, par exemple, les salons de coiffure, les magasins de bricolage ou encore les jardineries, ont pu rouvrir leurs portes (art. 6). L’ordonnance 2 COVID-19 a été abrogée le 22 juin 2020 (RO 2020 2195). L’ordonnance sur les mesures destinées à lutter contre l’épidémie de COVID-19 en situation particulière (ordonnance COVID-19 situation particulière) du 23 juin 2021, entrée en vigueur le 26 juin 2021 (RO 2021 379 - RS 818.101.26), a pris d’autres mesures de protection. Selon l’art. 12 al. 1 de l’ordonnance COVID-19 situation particulière, dans sa teneur au 23 juin 2021, les établissements de restauration, les bars et les boîtes de nuit dans lesquels la consommation a lieu sur place sont soumis aux règles suivantes : a. les exploitants doivent limiter l’accès à l’intérieur aux personnes disposant d’un certificat de vaccination ou de guérison ; ils doivent veiller à garantir une aération efficace des locaux ; les clients ont l’obligation de s’asseoir, sauf si l’accès est limité aux seules personnes disposant à la fois d’un certificat de vaccination ou de guérison et d’un certificat de test ; b. les exploitants peuvent limiter l’accès à l’extérieur aux personnes disposant d’un certificat de vaccination, de guérison ou de test ou imposer des restrictions d’accès plus strictes ; si un exploitant ne prévoit pas de limiter l’accès à l’extérieur, la distance requise entre les groupes doit être respectée ou des séparations efficaces doivent être installées ; c. si l’espace extérieur d’un établissement de restauration, d’un bar ou d’une boîte de nuit se trouve sur le site d’une manifestation à laquelle l’accès est limité, cette restriction d’accès s’applique aussi à l’espace extérieur de l’établissement de restauration, du bar ou de la boîte de nuit.</w:t>
      </w:r>
    </w:p>
    <w:p>
      <w:r>
        <w:rPr>
          <w:b/>
        </w:rPr>
        <w:t>E. 5.3</w:t>
      </w:r>
    </w:p>
    <w:p>
      <w:r>
        <w:t>Le 25 septembre 2020, le Parlement a adopté la loi fédérale sur les bases légales des ordonnances du Conseil fédéral visant à surmonter l'épidémie de COVID-19 (ci-après : loi COVID-19 - RS 818.102), dont l’art. 15 al. 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55 % par rapport au chiffre d’affaires moyen des années 2015 à 2019 sont considérées comme ayant dû limiter de manière significative leur activité lucrative.</w:t>
      </w:r>
    </w:p>
    <w:p>
      <w:r>
        <w:rPr>
          <w:b/>
        </w:rPr>
        <w:t>E. 5.4</w:t>
      </w:r>
    </w:p>
    <w:p>
      <w:r>
        <w:t>Le Conseil fédéral a édicté les adaptations d’ordonnances correspondantes lors de sa séance du 4 novembre 2020. S’agissant de l’ordonnance sur les pertes de gain COVID-19, le cercle des bénéficiaires a été élargi, avec effet rétroactif au 17 septembre 2020 et jusqu’au 30 juin 2021, aux personnes suivantes : - les personnes dont la position est assimilable à celle d’un employeur qui doivent fermer leur entreprise en raison de mesures cantonales ou fédérales et subissent de ce fait une perte de gain ; - les personnes dont la position est assimilable à celle d’un employeur qui subissent une perte de gain parce que leur manifestation ne peut se tenir en raison d’une interdiction en vigueur ; - les personnes indépendantes et les personnes dont la position est assimilable à celle d’un employeur qui, en raison de mesures de lutte contre le Coronavirus, enregistrent un chiffre d’affaires inférieur d’au moins 55 % à celui réalisé en moyenne de 2015 à 2019 et subissent donc une perte de gain, et qui ont réalisé en 2019 un revenu de l’activité lucrative soumis à l’AVS d’au moins CHF 10'000.-. Il ressort notamment de l’avant-propos à la version 18 de la Circulaire sur l’allocation pour perte de gain en cas de mesures destinées à lutter contre le coronavirus – Corona-perte de gain (ci-après : CCPG), valable à partir du 17 septembre 2020, que le 23 juin 2021, le Conseil fédéral avait modifié l’ordonnance COVID-19 situation particulière et levé l’interdiction générale des manifestations depuis le 26 juin 2021. À partir du 1 er septembre 2021, les personnes concernées dans ce secteur qui subissaient une perte de gain en raison des restrictions encore en vigueur, pouvaient faire valoir le droit à l’allocation fondé sur une limitation significative de l’activité lucrative. Actuellement,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l’épidémie de Coronavirus.</w:t>
      </w:r>
    </w:p>
    <w:p>
      <w:r>
        <w:rPr>
          <w:b/>
        </w:rPr>
        <w:t>E. 6</w:t>
      </w:r>
    </w:p>
    <w:p>
      <w:r>
        <w:t>En l’espèce, le recourant a débuté une activité d’indépendant le 1 er janvier 2020, pour laquelle il dit avoir obtenu des revenus de CHF 6'900.- pendant les trois premiers mois d’activité. En raison de la pandémie, il a constaté une baisse de la demande qui l’a empêché de faire un travail sur le fond pour se former une clientèle. ![endif]&gt;![if&gt; Néanmoins, force est de constater qu’entre juillet et octobre 2021, son domaine d’activité n’a pas été impacté par les mesures relatives à la pandémie, ce que le recourant ne conteste pas. Le fait que le début de son activité indépendante ait été perturbé par la pandémie, en ne lui permettant pas de se constituer une clientèle, ne suffit pas à lui ouvrir le droit à l’APG-Covid, qui n’est pas destinée à soutenir des entreprises en démarrage, mais seulement celles dont l’activité est directement impactée par les mesures du Conseil fédéral visant à lutter contre la pandémie. S’il invoque encore des « dégâts » qui continueraient avec la cinquième vague, il ne précise pas en quoi son activité en particulier serait atteinte par des mesures prises en lien avec celle-ci. Il en résulte que c’est à juste titre que l’intimée a rejeté les demandes d’APG-Covid du recourant pour les mois de juillet à octobre 2021.</w:t>
      </w:r>
    </w:p>
    <w:p>
      <w:r>
        <w:rPr>
          <w:b/>
        </w:rPr>
        <w:t>E. 7</w:t>
      </w:r>
    </w:p>
    <w:p>
      <w:r>
        <w:t>Infondés, les recours seront rejetés.![endif]&gt;![if&gt; Pour le surplus, la procédure est gratuite (art. 61 let. f bis a contrario LPGA).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