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A/3725/2007 vom 18. November 2008</w:t>
      </w:r>
    </w:p>
    <w:p>
      <w:r>
        <w:t>GE Cour de justice, 2008-11-18, FR</w:t>
      </w:r>
    </w:p>
    <w:p>
      <w:r>
        <w:rPr>
          <w:b/>
        </w:rPr>
        <w:t xml:space="preserve">Quelle: </w:t>
      </w:r>
      <w:r>
        <w:t>https://mcp.opencaselaw.ch/entscheid/ge_gerichte_A_3725_2007</w:t>
      </w:r>
    </w:p>
    <w:p>
      <w:r>
        <w:t>FR: GE_GERICHTE A/3725/2007 du 18 novembre 2008</w:t>
      </w:r>
    </w:p>
    <w:p>
      <w:r>
        <w:t>IT: GE_GERICHTE A/3725/2007 del 18 novembre 2008</w:t>
      </w:r>
    </w:p>
    <w:p>
      <w:pPr>
        <w:pStyle w:val="Heading2"/>
      </w:pPr>
      <w:r>
        <w:t>Erwägungen</w:t>
      </w:r>
    </w:p>
    <w:p>
      <w:r>
        <w:rPr>
          <w:b/>
        </w:rPr>
        <w:t>E. 13</w:t>
      </w:r>
    </w:p>
    <w:p>
      <w:r>
        <w:t>Les parties persistant dans leurs conclusions, la cause a été gardée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A teneur de l'art. 1 al. 1 LAA, les dispositions de la LPGA s'appliquent à l'assurance-accidents, à moins que la présente loi n'y déroge expressément. La LPGA est entrée en vigueur le 1er janvier 2003, entraînant la modification de nombreuses dispositions légales dans le domaine de l'assurance-accidents. Conformément au principe selon lequel les règles applicables sont celles en vigueur au moment où les fait juridiquement déterminants se sont produits (ATF 130 V 445 ), le droit litigieux doit être examiné à l'aune des dispositions de la LAA en vigueur jusqu'au 31 décembre 2002 (l’accident ayant eu lieu le 27 novembre 2001), pour la période courant jusqu'à cette date, puis à celle de la nouvelle réglementation pour la période postérieure.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Selon l’art. 60 al. 1 LPGA, le délai de recours est de trente jours. Ce délai s'applique aux décisions de l'assurance-accidents rendues postérieurement au 31 décembre 2006. En l'espèce, le recours a été interjeté en temps utile. L'objet du litige porte sur le droit de l'assurée à l'octroi d'une indemnité pour atteinte à l'intégrité et à la prise en charge des frais de traitement d'ostéopathie au-delà du 3 juillet 2007. L'assurance-accidents est en principe tenue d'allouer ses prestations en cas d'accident professionnel ou non professionnel (art. 6 al. 1 LAA). Selon l'art. 4 LPGA, est réputé accident toute atteinte dommageable, soudaine et involontaire, portée au corps humain par une cause extérieure extraordinaire qui compromet la santé physique, mentale ou psychique ou qui entraîne la mort. Cette définition de l'accident étant semblable à celle qui figurait avant l'entrée en vigueur de la LPGA à l'art. 9 al. 1 de l'Ordonnance sur l'assurance-accidents du 20 décembre 1982 (OLAA), la jurisprudence rendue sous l'ancien droit demeure pertinente. Il n’est pas contesté que l’événement du 7 juin 2002 répond à la définition de l’accident au sens de la LAA. 6. Les prestations comprennent, notamment, la prise en charge du traitement médical, le versement de l'indemnité journalière, le versement d'une rente d'invalidité et le versement d'une IPAI (art. 10, 16, 18 et 24 LAA).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doit ainsi, le cas échéant, retenir les éléments de fait allégués ou envisageables qui lui paraissent les plus probables (ATF 126 V 360 consid. 5b, 125 V 195 consid. 2 et les références; cf. ATF 130 III 324 consid. 3.2 et 3.3).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8. En ce qui concerne la valeur probante d’un rapport médical, fondant la détermination du juge dans le cadre de l’examen du lien de causalité naturelle,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Enfin, le médecin s'abstiendra de se prononcer en droit (ATF 125 V 352 consid. 3a; 122 V 160 consid. 1c et les références). Si, en application du principe de la libre appréciation des preuves, le juge apprécie librement ces dernières, sans être lié par des règles formelles, en procédant à une appréciation complète et rigoureuse des preuves, la jurisprudence a cependant eu l’occasion de préciser que le juge ne s'écartera pas sans motifs impératifs des conclusions d'une expertise médicale, la tâche de l'expert étant précisément de mettre ses connaissances spéciales à la disposition de la justice ou de l’administration afin de l'éclairer sur les aspects médicaux d'un état de fait donné.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10. Dans le contexte de la suppression du droit à des prestations, la règle selon laquelle le fardeau de la preuve appartient à la partie qui invoque la suppression du droit (ATFA non publié du 9 septembre 1999, U 355/98 consid. 2 in RAMA 2000 n. U 363 p. 46), entre seulement en considération s’il n’est pas possible d’établir, dans le cadre de la maxime inquisitoire et sur la base d’une appréciation des preuves, un état de fait qui, au degré de vraisemblance prépondérante, corresponde à la réalité (ATF 117 V 261 consid. 3b et les références citées). La preuve de la disparition du lien de causalité naturelle ne doit pas être rapportée par la preuve de facteurs étrangers à l’accident. Il est encore moins question d’exiger de l’assureur-accidents la preuve négative qu’aucune atteinte à la santé ne subsiste plus ou que la personne assurée est désormais en parfaite santé. Est seul décisif le point de savoir si les causes accidentelles d’une atteinte à la santé ne jouent plus de rôle et doivent ainsi être considérées comme ayant disparu (ATFA non publié du 10 mai 2007, U 172/06 consid. 6 et les références citées). En l'espèce, la SUVA s'est fondés sur l'appréciation du Dr D_____________ du 24 mai 2007 pour cesser de prendre en charge les frais d'ostéopathie dès juillet 2007. L'assurée lui reproche de faire état de l'avis de son propre médecin conseil. Le TFA toutefois a déjà eu l'occasion de juger que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(ATF 122 v 157). Tel n'est pas le cas s'agissant du Dr D_____________. Il est vrai en revanche que son avis est pour le moins succinct, et n'est nullement motivé. Il ne satisfait dès lors pas aux exigences posées par la jurisprudence quant à la valeur probante d'un rapport médical. L'assurée se réfère aux conclusions du Dr B_____________. Le Tribunal de céans considère cependant qu'elles n'ont pas non plus valeur probante, dans la mesure où ce médecin persiste à poser le diagnostic de syndrome post-entorse cervicale, tout en reconnaissant, ce qu'il avait du reste déjà constaté en juin 2003, qu'aucun moyen (radio, IRM, bilan neuropsychologique ou autre) ne permet d'en établir la présence et se contentant de déclarer à cet égard que l'impossibilité de l'objectiver ne l'empêche pas d'exister. A noter que dans son rapport du 19 avril 2007, le Dr C_____________ relevait également l'absence d'anomalie notable à l'IRM d'une part, et aucune limitation au niveau de la colonne cervicale, ni trouble neurologique d'autre part. L'assurée sollicite la mise en œuvre d'une expertise. Il apparaît cependant superflu d'administrer d'autres preuves et cette conclusion préalable doit être rejetée (sur l'appréciation anticipée des preuves; cf. ATF 122 II 469 consid. 4a; 122 III 223 consid. 3c; 120 Ib 229 consid. 2b; 119 V 344 consid. 3c et la référence). La question du lien de causalité naturelle peut en effet rester ouverte, dès lors qu’en tout état de cause, le rapport de causalité adéquate doit être nié, ainsi qu’il sera exposé ci-dessous. Le rapport de causalité adéquate relève du droit. Il appartient donc à l'administration - en cas de recours, au juge - de trancher. Parce que la question de la causalité adéquate relève du droit et non des faits, elle ne saurait être examinée à l'aune de la règle du degré de vraisemblance prépondérante applicable à l'établissement des faits en matière d'assurances sociales (cf. ATF 126 V 360 consid. 5b, 125 V 195 consid. 2 et les références).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ATF 125 V 461 consid. 5a et les références). Les notions de causalité naturelle ou adéquate n'ont pas été modifiées par l'entrée en vigueur de la LPGA et l'existence d'un rapport qualifié entre accident assuré et atteintes à la santé doit toujours être établi pour ouvrir droit aux prestations de l'assurance-accidents (cf. art. 6 al. 1 LAA; arrêt non publié N. du 13 février 2006, U 462/04, consid. 1.1 et les références). En l'espèce, il ne fait aucun doute que la recourante a été victime d'un accident de type "coup du lapin". Tous les médecins ont conclu en ce sens et l'intimée l'a elle-même admis dans ses décisions. Or, en cas d'atteintes à la santé consécutives à un traumatisme de type «coup du lapin» à la colonne cervicale, un traumatisme analogue (SVR 1995 UV n° 23 p. 67 consid. 2) ou un traumatisme crânio-cérébral, la jurisprudence apprécie le caractère adéquat du rapport de causalité en appliquant, par analogie, les mêmes critères que ceux dégagés à propos des troubles d'ordre psychiques, à la différence que l'examen de ces critères est effectué sans faire de distinction entre les composantes physiques ou psychiques : les critères de la gravité ou de la nature particulière des lésions subies, des douleurs persistantes, ainsi que du degré et de la durée de l'incapacité de travail sont déterminants de manière générale, sans référence aux seules lésions ou douleurs physiques (ATF 117 V 366 ss consid. 6a sv.; voir également ATF 123 V 99 consid. 2a et les références; RAMA 2002 n° U 470 p. 531 [arrêt M. du 30 juillet 2002, U 249/01]). L'existence d'un lien de causalité adéquate est donc soumise aux conditions suivantes : - des circonstances concomitantes particulièrement dramatiques ou le caractère particulièrement impressionnant de l'accident; - la gravité ou la nature particulière des lésions; - la durée anormalement longue du traitement médical; - les douleurs persistantes; - les erreurs dans le traitement médical entraînant une aggravation notable des séquelles de l'accident; - les difficultés apparues au cours de la guérison et des complications importantes; - le degré et la durée de l'incapacité de travail. Tous ces critères ne doivent pas être réunis pour que la causalité adéquate soit admise. Un seul d'entre eux peut être suffisant, notamment si l'on se trouve à la limite de la catégorie des accidents graves. En présence d'un événement accidentel de la catégorie moyenne à la limite supérieure, la réunion de trois critères remplis avec une certaine intensité suffit pour admettre l'existence d'un lien de causalité adéquate (cf. Jean-Maurice FRÉSARD, L'assurance-accidents obligatoire, in : Schweizerisches Bundesverwaltungsrecht, Soziale Sicherheit, n. 41 p 18).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115 V 140 consid. 6c/aa et 409 consid. 5c/aa). Il convient donc à présent d'évaluer la gravité de l'accident survenu en juin 2002. Il sied de rappeler que la jurisprudence a classé les accidents en trois catégories, en fonction de leur déroulement : les accidents insignifiants ou de peu de gravité (par ex.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139 consid. 6, 407ss consid 5). Notre Haute-Cour a ainsi jugé, dans le cas d'une personne dont le véhicule arrêté à un feu rouge a été percuté par l'arrière par une automobile et a ensuite embouti le véhicule la précédant que l'accident devait être qualifié de banal (ATFA U 160/03 du 31 mars 2004). Dans un arrêt plus récent, daté du 25 janvier 2005 (ATFA U 106/03), elle a en revanche jugé, dans le cas d'un véhicule à l'arrêt percuté à l'arrière et ayant embouti la voiture le précédant, qu'il s'agissait-là d'un accident de gravité moyenne mais que l'on ne saurait le qualifier de particulièrement impressionnant ou dramatique. C'est dès lors à juste titre que la SUVA a qualifié l'accident du 7 juin 2002 d'accident de gravité moyenne à la limite inférieure. Reste à examiner si les critères permettant de reconnaître l'existence d'un lien de causalité adéquate sont réunis, étant rappelé qu'en présence d'un accident se situant à la limite des accidents de peu de gravité, les circonstances à prendre en considération doivent se cumuler ou revêtir une intensité particulière pour que le caractère adéquat du lien de causalité puisse être admis (ATF 115 V 140 consid. 6c/aa et 409 consid. 5c/aa). Ainsi qu'on l'a vu plus haut, dans le cadre d'accident du type de celui qu'a subi la recourante, on ne saurait admettre l'existence de circonstances concomitantes particulièrement dramatiques ou le caractère particulièrement impressionnant de l'accident. Les lésions n'ont pas été d'une gravité particulière. Il n'a pas été question de difficultés apparues au cours de la guérison et des complications importantes, pas plus que d'éventuelles erreurs dans le traitement médical entraînant une aggravation notable des séquelles de l'accident. Le critère de la persistance des douleurs est en revanche sans conteste rempli. Il y a ainsi lieu de constater qu'un seul critère est réalisé en l'occurrence, ce qui ne suffit à l'évidence pas. C'est en conséquence à juste titre que la SUVA entend cesser de prendre en charge les séances d'ostéopathie à compter du 3 juillet 2007. Aux termes des art. 24 et 25 LAA, une indemnité équitable pour atteinte à l'intégrité est versée à l'assuré qui, par suite d'accident, souffre d'une atteinte importante et durable à son intégrité physique ou mentale (art. 24 al. 1 LAA). L'indemnité est allouée sous forme de prestation en capital et ne doit pas excéder le montant maximum du gain annuel assuré à l'époque de l'accident; elle est échelonnée selon la gravité de l'atteinte à l'intégrité (art. 25 al. 1 LAA). Selon l'art. 36 de l'ordonnance sur l'assurance-accidents (ci-après OLAA),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L'atteinte à l'intégrité fait abstraction des effets particuliers qu'elle peut exercer sur un individu donné; elle traduit une évaluation abstraite, valable pour tous les assurés. Seul est donc pris en compte "le degré de gravité" attribuable à une telle atteinte à l'intégrité chez l'homme moyen. La gravité s'apprécie d'après les constatations médicales. C'est dire que chez tous les assurés présentant le même status médical, l'atteinte à l'intégrité est la même; elle est évaluée en effet de manière abstraite, égale pour tous. En cela, l'IPAI se distingue donc de l'indemnité pour tort moral du droit civil, qui procède de l'estimation individuelle d'un dommage immatériel au regard des circonstances particulières du cas. Contrairement à l'évaluation du tort moral, la fixation de l'IPAI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ATFA non publié du 30 juillet 2002, U 249/01). (ATF 113 V 218 consid. 4; W. GILD et H. ZOLLINGER, Die Integritätentschädigung nach dem Bundesgesetz über die Unfallversicherung, Berne 1984, pp. 38 et 46; dans le même sens, A. MAURER, Schweizerisches Unfallversicherungsrecht, Berne 1985, p. 417; A. RUMO-JUNGO, E. MURER, Bundesgesetz über die Unfallversicherung, Zurich 1991, ad art. 25 al. 1, p. 104). L'annexe 3 à l'OLAA comporte un barème des atteintes à l'intégrité en pour cent du montant maximum du gain assuré. Ce barème - reconnu conforme à la loi - ne constitue pas une énumération exhaustive (ATF 124 V 32 consid. 1b, 210 consid. 4a/bb et les références).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du montant maximum du gain assuré serait appliqué. A cette fin, la division médicale de la CNA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(ATF 124 V 32 consid. 1c, 211 consid. 4a/cc, 116 V 157 consid. 3a). Force est en l'espèce de constater que c'est à juste titre que la SUVA a refusé d'accorder à la recourante une indemnité pour atteinte à l'intégrité, au motif que l'atteinte n'est ni importante, ni durable, ce d'autant plus que celle-ci n'est au demeurant pas objectivable selon les médecins de l'assurance et selon le Dr B_____________ lui-même. Par conséquent,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