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A/3721/2023 vom 3. Oktober 2024</w:t>
      </w:r>
    </w:p>
    <w:p>
      <w:r>
        <w:t>GE Cour de justice, 2024-10-03, FR</w:t>
      </w:r>
    </w:p>
    <w:p>
      <w:r>
        <w:rPr>
          <w:b/>
        </w:rPr>
        <w:t xml:space="preserve">Quelle: </w:t>
      </w:r>
      <w:r>
        <w:t>https://mcp.opencaselaw.ch/entscheid/ge_gerichte_A_3721_2023</w:t>
      </w:r>
    </w:p>
    <w:p>
      <w:r>
        <w:t>FR: GE_GERICHTE A/3721/2023 du 3 octobre 2024</w:t>
      </w:r>
    </w:p>
    <w:p>
      <w:r>
        <w:t>IT: GE_GERICHTE A/3721/2023 del 3 ottobre 2024</w:t>
      </w:r>
    </w:p>
    <w:p>
      <w:pPr>
        <w:pStyle w:val="Heading2"/>
      </w:pPr>
      <w:r>
        <w:t>Regeste</w:t>
      </w:r>
    </w:p>
    <w:p>
      <w:r>
        <w:t>PERMIS DE CONSTRUIRE;REJET DE LA DEMANDE;DÉCISION;DÉFAUT ESTHÉTIQUE;OBJET DU LITIGE | LCI.4; LCI.15</w:t>
      </w:r>
    </w:p>
    <w:p>
      <w:pPr>
        <w:pStyle w:val="Heading2"/>
      </w:pPr>
      <w:r>
        <w:t>Erwägungen</w:t>
      </w:r>
    </w:p>
    <w:p>
      <w:r>
        <w:rPr>
          <w:b/>
        </w:rPr>
        <w:t>E. 2</w:t>
      </w:r>
    </w:p>
    <w:p>
      <w:r>
        <w:t>) confirmait que la distance horizontale directe entre le pied du mât et le LUS n° 2 était donc bien de 29.4 m. Dans ce contexte, le LUS se situait à l’intérieur du bâtiment et non sur la façade. Le point de mesure déterminant se trouvait à l’intérieur de la pièce à une distance de 50 cm des fenêtres, conformément au ch. 2.1 du rapport technique : Méthode de mesure des stations de base 5G NR jusqu’à 6 GHt, version 2.1 du 20 avril 2020 de l’Institut fédéral de métrologie METAS, auquel renvoyait le ch. 5 du complément du 23 février 2021 à la recommandation d’exécution de l’ORNI concernant les stations de base pour téléphonie mobile et raccordement sans fil (WLL), OFEFP, 2002, publié par l’OFEV. EN DROIT 1.             Le tribunal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Mme BB_____ et consorts ainsi que Mme et M. D______ ont requis que soit ordonnée la vérification, sur mandat du SABRA, par une entité indépendante, de la fiche de données en allant sur site pour identifier les LUS et mesurer les rayonnements émis, afin notamment de vérifier si l’analyse effectuée par le SABRA prenait en compte tous les éléments pertinents et si les calculs avaient bien été effectués. 4.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5.             En l’espèce, compte tenu du résultat auquel le tribunal parviendra à l’issue de l’examen du bien-fondé du recours qui sera effectué ci-après, il sera retenu, par le biais d’une appréciation anticipée des faits, que les mesures d’instruction requises ne sont pas nécessaires pour trancher le présent litige. Par conséquent, les requêtes tendant à la réalisation de ces mesures, en soi non obligatoires, seront rejetées.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7.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8.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ATA/4418/2019 du 23 mars 2021, consid.10b; ATA/185/2020 précité consid. 2b). 9.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ATA/648/2016 du 26 juillet 2016 consid. 2b). 10.         La recourante se prévaut d’un abus du pouvoir d’appréciation de l’autorité intimée, voire d’un comportement arbitraire de la part de cette dernière, dans le cadre de l’application de la clause d’esthétique. 11.         Aucune construction ou installation ne peut être créée ou transformée sans autorisation de l'autorité compétente (art. 22 al. 1 de la loi fédérale sur l’aménagement du territoire du 22 juin 1979 - LAT - RS 700 ; art. 1 al. 1 LCI).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 12.         Selon l’art. 4 al. 5 LCI, l’autorisation est caduque si les travaux ne sont pas entrepris dans les deux ans qui suivent sa publication dans la Feuille d’avis officielle. En cas de recours, le délai est suspendu pendant la durée comprise entre cette publication et la fin de la procédure, y compris une éventuelle instance devant une juridiction fédérale.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Le présent alinéa s’applique par analogie aux autorisations énergétiques et aux autorisations d’abattage d’arbres délivrées en relation avec une autorisation de construire (al. 6). Lorsque la demande en est présentée un mois au moins avant l’échéance du délai fixé à l’alinéa précédent, le département peut prolonger d’une année la validité de l’autorisation de construire; dans ce cas, la présentation des pièces prévues à l’art. 2 al. 2, n’est pas exigible (al. 7). Sous réserve de circonstances exceptionnelles, l'autorisation ne peut être prolongée que deux fois (al. 8). 13.         La caducité est la conséquence de l'absence de travaux dans le délai mentionné à l'art. 4 al. 5 LCI, ce délai étant un délai de péremption (arrêt du Tribunal fédéral 1A.150/2001 du 31 janvier 2002, consid. 1.1.3). L’intérêt au respect de l’autorité de la chose jugée et de la bonne foi n’est pas pertinent lorsque l’autorisation de construire, ayant perdu son autorité de chose jugée en raison de l’écoulement de sa période de validité, est devenue caduque (arrêts du Tribunal fédéral 1C_294/2023 du 13 février 2024 ; 1C_273/2021 du 28 avril 2022, 1C_587/2017 du 19 mars 2018). A fortiori, il n’existe pas de droit à se voir délivrer une seconde autorisation de construire, même pour un projet quasi identique, plusieurs années après la fin de la période de validité de la première autorisation ( ATA/555/2022 du 24 mai 2022 consid. 10 ; ATA/199/2022 du 22 février 2022 consid. 9a). Une autorisation de construire ne crée pas de droit acquis mais, lorsqu’elle est utilisée, elle a pour effet durable de légitimer la construction autorisée ( ATA/199/2022 du 22 février 2022 consid. 9a et la réf. citée). Dans le cadre de l’arrêt 1C_294/2024 précité concernant un recours contre un jugement cantonal confirmant une décision de refus de délivrer une autorisation définitive de construire précédée d’une autorisation préalable devenue caduque à l’échéance du délai de validité de deux ans, le Tribunal fédéral a considéré que le DT était fondé à procéder à un nouvel examen global du projet, en tenant compte des positions actuelles de l’OCAN et de la commune, quand bien même aucun changement législatif n’était intervenu depuis la délivrance de l’autorisation préalable. En raison de la caducité, respectivement de la péremption frappant l’autorisation préalable, il était notamment sans pertinence que le projet litigieux présente des similitudes avec le projet précédent et que ce dernier ait, en son temps, été préavisé favorablement par l’ensemble des services étatiques concernés (consid. 3.3). 14.         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 15.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16.         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(CI_____, La protection des monuments historiques, 1982, p. 25). La jurisprudence a pris acte de cette évolution (ATF 126 I 219 consid. 2 p. 223 ; arrêt du Tribunal fédéral 1C_300/2011 du 3 février 2012 consid. 5.1.1 ; ATA/895/2023 du 22 août 2023 consid. 4.5 ; ATA/423/2023 du 25 avril 2023 consid. 5.1).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Néanmoins, comme tout objet construit ne mérite pas une protection, il faut procéder à une appréciation d'ensemble, en fonction des critères objectifs ou scientifiques ( ATA/423/2023 précité consid. 5.1 et les arrêts cités). 17.         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ATA/1102/2022 précité consid. 6c et l'arrêt cité). Lorsque la consultation de la CA est imposée par la loi, le préavis de cette commission a un poids certain dans l'appréciation qu'est amenée à effectuer l'autorité de recours ( ATA/1101/2022 précité consid. 5d et l'arrêt cité). Il n'en demeure pas moins que la délivrance des autorisations de construire demeure de la compétence exclusive du département, à qui il appartient de statuer en tenant compte de tous les intérêts en présence ( ATA/1168/2023 du 31 octobre 2023 consid. 4.8. et les arrêts cités). 18.         L’art. 15 LCI reconnaît ainsi au département un large pouvoir d'appréciation. Ce dernier n'est limité que par l'excès ou l'abus du pouvoir d'appréciation (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 19.         Les installations de téléphonie mobile peuvent être soumises aux dispositions cantonales ou communales d'esthétique ou d'intégration (arrêt du Tribunal fédéral 1C_371/2020 du 9 février 2021 consid. 3.2 et les références citées;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 en particulier d'indiquer les raisons pour lesquelles elle considère qu'une construction ou une installation serait de nature à enlaidir le site (ATF 115 Ia 363 consid. 3b ; arrêt du Tribunal fédéral 1C_465/2010 du 31 mai 2011 consid. 3.2 et les arrêts cités). Les normes précitées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Une intervention de l'autorité communale ou cantonale sur la base d'une clause d'esthétique ou de dispositions communales de portée analogue doit se justifier par un intérêt public prépondérant, tel que la protection d'un site ou d'un ensemble de bâtiments présentant des qualités esthétiques remarquables (ATF 101 Ia 213 consid. 6c ; arrêt du Tribunal fédéral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(art. 2 al. 3 LAT). L'autorité de recours doit toutefois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 145 I 52 consid. 3.6). Aussi,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 20.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LTC ou la LAT (arrêts du Tribunal fédéral 1A.22/2004 et 1P.66/2004 du 1er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21.         En l’espèce, il convient de déterminer en premier lieu si l’autorité intimée était fondée, sur le principe, à s’écarter de l’appréciation effectuée par ses soins dans le cadre de l’autorisation DD 4______. À ce propos, il sera constaté que l’autorisation DD 4______ délivrée le ______ 2014 n’a pas été mise en œuvre et n’a fait l’objet d’aucune demande de prolongation de validité de la part de la recourante, ce qui n’est pas contesté par les parties. Dès lors, conformément aux dispositions légales et à la jurisprudence précitées, cette autorisation est devenue caduque à l’échéance d’un délai de deux ans, soit le 24 juillet 2016. Ainsi, celle-ci a perdu toute validité. En effet, l’autorité ne saurait être liée par une autorisation délivrée antérieurement, sans égard au temps écoulé depuis sa délivrance, alors qu’il ressort explicitement du texte clair de l’art. 4 al. 5 LCI qu’à l’échéance du délai fixé par la loi, l’autorisation précédemment délivrée devient caduque. L’autorité intimée, tout comme les instances de préavis consultées dans le cadre de l’instruction de la DD 8______, n’étaient donc plus liées par la DD 4______. Dès lors, la similarité ou non du projet litigieux avec celui ayant été autorisé dans le cadre de la DD 4______ est sans pertinence. Le département, tout comme les instances de préavis, étaient donc en droit d’examiner librement l’ensemble des questions soulevées par le nouveau projet enregistré sous DD 8______ et, partant, de s’écarter de leurs appréciations antérieures respectives. En tout état, force est de constater que les projets visés par les DD 4______ et DD 8______ ne sont pas identiques, notamment s’agissant de l’emplacement du mât destiné à accueillir les antennes ainsi que de la taille desdites antennes, celles du projet litigieux étant de quelques centimètres plus grandes que les anciens modèles examinés dans le cadre de la DD 4______. Pour le surplus, neuf années séparent la délivrance de la première autorisation de construire du dépôt de la demande d’autorisation litigieuse. Vu cet écoulement du temps, il se justifie d’autant plus que les autorités compétentes soient en mesure de revoir librement le nouveau projet soumis. Retenir le contraire reviendrait à obliger l’autorité intimée, même de nombreuses années plus tard, à restreindre son pouvoir d’examen lorsqu’un projet ressemblant a été autorisé par le passé, ce qui reviendrait de facto à violer les principes posés par la LCI et la jurisprudence tels que cités plus haut. En conclusion, il ne saurait dans le présent cas être retenu qu’en procédant à un nouvel examen global du projet et en tenant compte, dans ce cadre, de la nouvelle position de la CA à cet égard, l’autorité intimée aurait fait preuve d’un comportement contradictoire ou mésusé de son pouvoir d’appréciation. En outre, pour les mêmes motifs, il ne peut être considéré que la décision attaquée contredit clairement la situation de fait, viole gravement une norme ou un principe juridique claire et indiscuté ou heurte de manière choquante le sentiment de justice et d’équité. Partant, infondé, le grief d’abus du pouvoir d’appréciation et d’arbitraire en lien avec le fait que l’autorité intimée a procédé in casu à une appréciation différente de celle effectuée dans le cadre de la DD 4______ sera écarté. 22.         S’agissant de l’examen du bien-fondé de l’application de l’art. 15 LCI, le tribunal relève tout d’abord que l’autorité intimée a considéré, dans ses observations, que la recourante confondait la problématique de l’installation des antennes de télécommunication avec celle de l’implantation du mât, précisant pour le surplus que la CA s’était, dans ses deux préavis, prononcée défavorablement s’agissant de la construction même du mât et en aucun cas sur l’installation des antennes. Dans le même sens, le DT a encore expliqué que la législation en matière de télécommunication ne s’appliquait pas in casu ; la présente cause ne pourrait être appréhendée qu’à la lumière de la clause d’esthétique de l’art. 15 LCI par rapport à l’installation projetée, indépendamment des éléments qu’elle prévoyait d’accueillir. Toutefois, le tribunal constate qu’il ne saurait être fait abstraction de la présence projetée desdites antennes, contrairement à ce que prétend l’autorité intimée. À ce titre, il sera relevé que la demande d’autorisation de construire litigieuse porte sur la construction d’une nouvelle installation mobile pour le compte de la recourante et non sur la réalisation d’un mât uniquement. Figure d’ailleurs en annexe de cette requête une fiche de données, laquelle aurait été inutile si seul un mât avait été concerné. Pour le surplus, le projet querellé a été soumis par le DT au SABRA pour préavis, ce qui n’aurait nullement été nécessaire si ce dernier devait être appréhendé uniquement sous l’angle d’une simple construction, comme le prétend le DT. Enfin, la décision de refus d’autorisation contestée indique expressément, tout comme l’ensemble des préavis, que la construction concernée consiste en une nouvelle installation mobile sur pylône. Dès lors que le projet litigieux concerne une installation de téléphonie mobile, les dispositions constitutionnelles et légales ainsi que les principes jurisprudentiels – tels qu’exposés ci-dessus - relatifs à ce type d’installations trouvaient application in casu. Ainsi notamment, devait être pris en compte, dans le cadre du prononcé de la décision attaquée, l’intérêt public que constitue la nécessité d’assurer une couverture adéquate du réseau de téléphonie mobile sur tout le territoire suisse. En outre, l’art. 15 LCI devait être appliqué dans les limites du droit supérieur, en particulier le droit fédéral des télécommunications. Or, in casu, il n’a pas été démontré ni même allégué que le DT aurait procédé à la pesée des intérêts décrite supra, notamment au regard des dispositions légales applicables en matière de télécommunications. Au contraire, ce dernier explique lui-même considérer - à tort comme vu ci-dessus - que la construction litigieuse est le mât et non les antennes de téléphonie. Dans le même sens, force est de constater qu’il ne ressort pas des éléments au dossier que le DT aurait collaboré à la recherche de solutions alternatives praticables, conformément aux conditions posées par la jurisprudence en matière de téléphonie mobile. Par conséquent, force est de constater que la décision rendue ne prend pas en considération les intérêts publics consacrés par la législation fédérale en matière de télécommunications, ni l’obligation de couverture incombant aux opérateurs. Le tribunal étant lié par l’objet du litige, circonscrit notamment par la décision de refus attaquée, laquelle est fondée uniquement sur une violation de l’art. 15 LCI, il ne saurait examiner cette question dans le cadre de la présente procédure de recours, sauf à priver les concernés d’un droit à l’examen de cette question par le biais d’un double degré de juridiction. Pour les mêmes motifs et faute pour l’autorité intimée d’avoir examiné le projet litigieux sous cet angle, il ne sera pas entré en matière sur les griefs des intervenants relatifs à diverses violations des dispositions techniques applicables aux installations de téléphonie mobile. 23.         Eu égard aux développements qui précèdent, la décision attaquée sera annulée. La présente cause sera renvoyée à l’autorité intimée afin que le projet litigieux soit examiné en tant qu’installation de téléphonie mobile et non uniquement de mât et que sa conformité avec les dispositions et principes applicables en matière de téléphonie mobile soit déterminée par l’autorité intimée. Le recours est ainsi admis quant à la première des conclusions principales de la recourante mais rejeté quant à la seconde de ses conclusions principales et la seconde de ses conclusions subsidiaires. À cet égard, dans la mesure où il appartient à l'autorité intimée de reprendre l'instruction du dossier, il est précisé que le présent jugement constitue une décision incidente. Le recours est ainsi partiellement admis. 24.         Vu l’issue du litige, il ne sera pas perçu d’émolument (art. 87 al. 1 LPA). L’avance de frais de CHF 900.- versée par la recourante lui sera restituée. 25.         Une indemnité de procédure de CHF 1’200.-, à la charge de l’État de Genève, soit pour lui le département du territoire, de Mme C______ et M. D______, de Mme E______ et consorts ainsi que de Mme BB_____ et consorts, pris conjointement et solidairement, sera allouée à la recourante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